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ARTERIS,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27-0117058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900 E. Hamilton Avenue Suite 300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Campbell, CA 95008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470-7300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AIP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 2026, Arteris, Inc. (the “Company”) held its Annual Meeting of Stockholders (the “Annual Meeting”). At the Annual Meeting, the Company’s stockholders voted on two proposals, each of which is described in more detail in the Company’s definitive proxy statement on Schedule 14A filed with the Securities and Exchange Commission on April 21, 2026. Only stockholders of record as of the close of business on April 9, 2026, the record date for the Annual Meeting, were entitled to vote at the Annual Meeting. As of the record date, 46,092,618 shares of the Company’s voting common stock were outstanding and entitled to vote at the Annual Meeting. The tabulation of the stockholder votes on each proposal brought before the Annual Meeting is as follows:</w:t>
      </w:r>
    </w:p>
    <w:p>
      <w:pPr>
        <w:spacing w:after="0" w:line="18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The election of three Class II directors to hold office until the 2029 annual meeting of stockholders or until their respective successor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8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6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596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Antonio J. Viana</w:t>
            </w:r>
          </w:p>
        </w:tc>
        <w:tc>
          <w:tcPr>
            <w:tcW w:w="26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24,909,978</w:t>
            </w:r>
          </w:p>
        </w:tc>
        <w:tc>
          <w:tcPr>
            <w:tcW w:w="320" w:type="dxa"/>
            <w:vAlign w:val="bottom"/>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8,213,781</w:t>
            </w:r>
          </w:p>
        </w:tc>
        <w:tc>
          <w:tcPr>
            <w:tcW w:w="320" w:type="dxa"/>
            <w:vAlign w:val="bottom"/>
          </w:tcPr>
          <w:p>
            <w:pPr>
              <w:spacing w:after="0"/>
              <w:rPr>
                <w:sz w:val="16"/>
                <w:szCs w:val="16"/>
                <w:color w:val="auto"/>
              </w:rPr>
            </w:pPr>
          </w:p>
        </w:tc>
        <w:tc>
          <w:tcPr>
            <w:tcW w:w="78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7"/>
              </w:rPr>
              <w:t>3,126,251</w:t>
            </w: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Wayne C. Cantwell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26,200,856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6,922,903</w:t>
            </w:r>
          </w:p>
        </w:tc>
        <w:tc>
          <w:tcPr>
            <w:tcW w:w="3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3,126,251</w:t>
            </w:r>
          </w:p>
        </w:tc>
        <w:tc>
          <w:tcPr>
            <w:tcW w:w="0" w:type="dxa"/>
            <w:vAlign w:val="bottom"/>
          </w:tcPr>
          <w:p>
            <w:pPr>
              <w:spacing w:after="0"/>
              <w:rPr>
                <w:sz w:val="1"/>
                <w:szCs w:val="1"/>
                <w:color w:val="auto"/>
              </w:rPr>
            </w:pPr>
          </w:p>
        </w:tc>
      </w:tr>
      <w:tr>
        <w:trPr>
          <w:trHeight w:val="234"/>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Joachim Kunkel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27,178,951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5,944,808</w:t>
            </w:r>
          </w:p>
        </w:tc>
        <w:tc>
          <w:tcPr>
            <w:tcW w:w="3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3,126,251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The ratification of the selection by the audit committee of the board of directors of the Company of Deloitte &amp; Touche, LLP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of the Company for the fiscal year ending December 31, 2026:</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276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rPr>
              <w:t>36,095,687</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145,040</w:t>
            </w:r>
          </w:p>
        </w:tc>
        <w:tc>
          <w:tcPr>
            <w:tcW w:w="80" w:type="dxa"/>
            <w:vAlign w:val="bottom"/>
          </w:tcPr>
          <w:p>
            <w:pPr>
              <w:spacing w:after="0"/>
              <w:rPr>
                <w:sz w:val="19"/>
                <w:szCs w:val="19"/>
                <w:color w:val="auto"/>
              </w:rPr>
            </w:pPr>
          </w:p>
        </w:tc>
        <w:tc>
          <w:tcPr>
            <w:tcW w:w="26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rPr>
              <w:t>9,284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0" w:lineRule="exact"/>
        <w:rPr>
          <w:sz w:val="20"/>
          <w:szCs w:val="20"/>
          <w:color w:val="auto"/>
        </w:rPr>
      </w:pPr>
    </w:p>
    <w:p>
      <w:pPr>
        <w:spacing w:after="0" w:line="264"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Nick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19685</wp:posOffset>
            </wp:positionV>
            <wp:extent cx="240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Nick B. Hawkins</w:t>
      </w:r>
    </w:p>
    <w:p>
      <w:pPr>
        <w:spacing w:after="0" w:line="31"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2026-06-04T16:25:42Z</dcterms:created>
  <dcterms:modified xsi:type="dcterms:W3CDTF">2026-06-04T16:25:42Z</dcterms:modified>
</cp:coreProperties>
</file>