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05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Bayview Legacy, LLC</w:t>
              </w:r>
            </w:hyperlink>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Arteris,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AIP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2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ARTERIS, INC.</w:t>
            </w:r>
          </w:p>
        </w:tc>
        <w:tc>
          <w:tcPr>
            <w:tcW w:w="144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900 E. HAMILTON AVE.,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059"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CAMPBELL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05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gridSpan w:val="2"/>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06/08/2026</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60" w:type="dxa"/>
            <w:vAlign w:val="bottom"/>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42,449</w:t>
            </w:r>
          </w:p>
        </w:tc>
        <w:tc>
          <w:tcPr>
            <w:tcW w:w="200" w:type="dxa"/>
            <w:vAlign w:val="bottom"/>
          </w:tcPr>
          <w:p>
            <w:pPr>
              <w:spacing w:after="0"/>
              <w:rPr>
                <w:sz w:val="21"/>
                <w:szCs w:val="21"/>
                <w:color w:val="auto"/>
              </w:rPr>
            </w:pPr>
          </w:p>
        </w:tc>
        <w:tc>
          <w:tcPr>
            <w:tcW w:w="300" w:type="dxa"/>
            <w:vAlign w:val="bottom"/>
            <w:vMerge w:val="restart"/>
          </w:tcPr>
          <w:p>
            <w:pPr>
              <w:jc w:val="center"/>
              <w:ind w:right="95"/>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34.7417</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8,956,622</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06/08/2026</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60" w:type="dxa"/>
            <w:vAlign w:val="bottom"/>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27,551</w:t>
            </w:r>
          </w:p>
        </w:tc>
        <w:tc>
          <w:tcPr>
            <w:tcW w:w="200" w:type="dxa"/>
            <w:vAlign w:val="bottom"/>
          </w:tcPr>
          <w:p>
            <w:pPr>
              <w:spacing w:after="0"/>
              <w:rPr>
                <w:sz w:val="21"/>
                <w:szCs w:val="21"/>
                <w:color w:val="auto"/>
              </w:rPr>
            </w:pPr>
          </w:p>
        </w:tc>
        <w:tc>
          <w:tcPr>
            <w:tcW w:w="300" w:type="dxa"/>
            <w:vAlign w:val="bottom"/>
            <w:vMerge w:val="restart"/>
          </w:tcPr>
          <w:p>
            <w:pPr>
              <w:jc w:val="center"/>
              <w:ind w:right="95"/>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35.1596</w:t>
            </w:r>
            <w:r>
              <w:rPr>
                <w:rFonts w:ascii="Times New Roman" w:cs="Times New Roman" w:eastAsia="Times New Roman" w:hAnsi="Times New Roman"/>
                <w:sz w:val="22"/>
                <w:szCs w:val="22"/>
                <w:color w:val="008000"/>
                <w:vertAlign w:val="superscript"/>
              </w:rPr>
              <w:t>(5)</w:t>
            </w: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8,929,071</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52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made pursuant to a 10b5-1 trading plan that was adopted by K. Charles Janac, as the manager of Bayview Legacy, LLC, on March 5, 2025.</w:t>
      </w:r>
    </w:p>
    <w:p>
      <w:pPr>
        <w:spacing w:after="0" w:line="5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K. Charles Janac, in his individual capacity, has separately filed a Form 4 on the date hereof reporting the same transaction given his beneficial ownership of the reported security through Bayview Legacy, LLC, which he controls as its manager.</w:t>
      </w:r>
    </w:p>
    <w:p>
      <w:pPr>
        <w:spacing w:after="0" w:line="7"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$33.97 to $34.96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K. Charles Janac is the manager of Bayview Legacy, LLC and as such is deemed to have voting and dispositive power over the shares beneficially owned by Bayview Legacy, LLC.</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$34.97 to $35.46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 Charles Janac</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06/10/2026</w:t>
            </w: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8862" TargetMode="External"/><Relationship Id="rId14" Type="http://schemas.openxmlformats.org/officeDocument/2006/relationships/hyperlink" Target="http://www.sec.gov/cgi-bin/browse-edgar?action=getcompany&amp;CIK=00016670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2026-06-10T15:23:16Z</dcterms:created>
  <dcterms:modified xsi:type="dcterms:W3CDTF">2026-06-10T15:23:16Z</dcterms:modified>
</cp:coreProperties>
</file>