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Alpern Paul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VP and General Counsel</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0.56</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84,384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9.28</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86,884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44.0182</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84,788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45.0793</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83,805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46.2265</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81,284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47.1131</w:t>
            </w:r>
            <w:r>
              <w:rPr>
                <w:rFonts w:ascii="Times;serif" w:hAnsi="Times;serif"/>
                <w:color w:val="008000"/>
                <w:position w:val="7"/>
                <w:sz w:val="16"/>
                <w:sz w:val="20"/>
                <w:shd w:fill="FFFFFF" w:val="clear"/>
              </w:rPr>
              <w:t>(5)</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80,384</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1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0.56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9.28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02/20/2035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that was adopted by the Reporting Person on February 23,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sale price. These shares were sold in multiple transactions at prices ranging from $43.70 to $44.69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sale price. These shares were sold in multiple transactions at prices ranging from $44.81 to $45.79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sale price. These shares were sold in multiple transactions at prices ranging from $45.815 to $46.51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sale price. These shares were sold in multiple transactions at prices ranging from $46.85 to $47.50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Incentive stock option, 25% of the total shares vested on August 26, 2020; thereafter, 1/48th of the total shares vested monthly for 3 years, beginning on September 26, 2020.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Non-qualified stock options, vesting in 16 equal quarterly installments of 1/16th each, beginning on April 1,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Alpern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8542"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1006</Words>
  <Characters>5326</Characters>
  <CharactersWithSpaces>6218</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