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Verdana" w:cs="Verdana" w:eastAsia="Verdana" w:hAnsi="Verdana"/>
          <w:sz w:val="32"/>
          <w:szCs w:val="32"/>
          <w:b w:val="1"/>
          <w:bCs w:val="1"/>
          <w:color w:val="auto"/>
        </w:rPr>
        <w:t>UNITED STATES</w:t>
      </w:r>
    </w:p>
    <w:p>
      <w:pPr>
        <w:jc w:val="center"/>
        <w:spacing w:after="0"/>
        <w:rPr>
          <w:sz w:val="20"/>
          <w:szCs w:val="20"/>
          <w:color w:val="auto"/>
        </w:rPr>
      </w:pPr>
      <w:r>
        <w:rPr>
          <w:rFonts w:ascii="Verdana" w:cs="Verdana" w:eastAsia="Verdana" w:hAnsi="Verdana"/>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Verdana" w:cs="Verdana" w:eastAsia="Verdana" w:hAnsi="Verdana"/>
          <w:sz w:val="18"/>
          <w:szCs w:val="18"/>
          <w:b w:val="1"/>
          <w:bCs w:val="1"/>
          <w:color w:val="auto"/>
        </w:rPr>
        <w:t>Washington, D.C. 20549</w:t>
      </w:r>
    </w:p>
    <w:p>
      <w:pPr>
        <w:spacing w:after="0" w:line="74" w:lineRule="exact"/>
        <w:rPr>
          <w:sz w:val="24"/>
          <w:szCs w:val="24"/>
          <w:color w:val="auto"/>
        </w:rPr>
      </w:pPr>
    </w:p>
    <w:p>
      <w:pPr>
        <w:jc w:val="center"/>
        <w:ind w:right="20"/>
        <w:spacing w:after="0"/>
        <w:rPr>
          <w:sz w:val="20"/>
          <w:szCs w:val="20"/>
          <w:color w:val="auto"/>
        </w:rPr>
      </w:pPr>
      <w:r>
        <w:rPr>
          <w:rFonts w:ascii="Verdana" w:cs="Verdana" w:eastAsia="Verdana" w:hAnsi="Verdana"/>
          <w:sz w:val="20"/>
          <w:szCs w:val="20"/>
          <w:b w:val="1"/>
          <w:bCs w:val="1"/>
          <w:color w:val="auto"/>
        </w:rPr>
        <w:t>FORM 10-K</w:t>
      </w:r>
    </w:p>
    <w:p>
      <w:pPr>
        <w:spacing w:after="0" w:line="95" w:lineRule="exact"/>
        <w:rPr>
          <w:sz w:val="24"/>
          <w:szCs w:val="24"/>
          <w:color w:val="auto"/>
        </w:rPr>
      </w:pPr>
    </w:p>
    <w:p>
      <w:pPr>
        <w:spacing w:after="0"/>
        <w:rPr>
          <w:sz w:val="20"/>
          <w:szCs w:val="20"/>
          <w:color w:val="auto"/>
        </w:rPr>
      </w:pPr>
      <w:r>
        <w:rPr>
          <w:rFonts w:ascii="Verdana" w:cs="Verdana" w:eastAsia="Verdana" w:hAnsi="Verdana"/>
          <w:sz w:val="14"/>
          <w:szCs w:val="14"/>
          <w:b w:val="1"/>
          <w:bCs w:val="1"/>
          <w:color w:val="auto"/>
        </w:rPr>
        <w:t>(Mark One)</w:t>
      </w:r>
    </w:p>
    <w:p>
      <w:pPr>
        <w:spacing w:after="0" w:line="59"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Verdana" w:cs="Verdana" w:eastAsia="Verdana" w:hAnsi="Verdana"/>
          <w:sz w:val="14"/>
          <w:szCs w:val="14"/>
          <w:color w:val="auto"/>
        </w:rPr>
        <w:t>ANNUAL REPORT PURSUANT TO SECTION 13 OR 15(d) OF THE SECURITIES EXCHANGE ACT OF 1934</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1" w:lineRule="exact"/>
        <w:rPr>
          <w:sz w:val="24"/>
          <w:szCs w:val="24"/>
          <w:color w:val="auto"/>
        </w:rPr>
      </w:pPr>
    </w:p>
    <w:p>
      <w:pPr>
        <w:ind w:left="520" w:hanging="494"/>
        <w:spacing w:after="0"/>
        <w:tabs>
          <w:tab w:leader="none" w:pos="520" w:val="left"/>
        </w:tabs>
        <w:numPr>
          <w:ilvl w:val="0"/>
          <w:numId w:val="2"/>
        </w:numPr>
        <w:rPr>
          <w:rFonts w:ascii="Wingdings" w:cs="Wingdings" w:eastAsia="Wingdings" w:hAnsi="Wingdings"/>
          <w:sz w:val="18"/>
          <w:szCs w:val="18"/>
          <w:b w:val="1"/>
          <w:bCs w:val="1"/>
          <w:color w:val="auto"/>
        </w:rPr>
      </w:pPr>
      <w:r>
        <w:rPr>
          <w:rFonts w:ascii="Verdana" w:cs="Verdana" w:eastAsia="Verdana" w:hAnsi="Verdana"/>
          <w:sz w:val="14"/>
          <w:szCs w:val="14"/>
          <w:color w:val="auto"/>
        </w:rPr>
        <w:t>TRANSITION REPORT 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Verdana" w:cs="Verdana" w:eastAsia="Verdana" w:hAnsi="Verdana"/>
          <w:sz w:val="14"/>
          <w:szCs w:val="14"/>
          <w:b w:val="1"/>
          <w:bCs w:val="1"/>
          <w:color w:val="auto"/>
        </w:rPr>
        <w:t>For the transition period from to</w:t>
      </w:r>
    </w:p>
    <w:p>
      <w:pPr>
        <w:spacing w:after="0" w:line="77" w:lineRule="exact"/>
        <w:rPr>
          <w:sz w:val="24"/>
          <w:szCs w:val="24"/>
          <w:color w:val="auto"/>
        </w:rPr>
      </w:pPr>
    </w:p>
    <w:p>
      <w:pPr>
        <w:jc w:val="center"/>
        <w:spacing w:after="0"/>
        <w:rPr>
          <w:sz w:val="20"/>
          <w:szCs w:val="20"/>
          <w:color w:val="auto"/>
        </w:rPr>
      </w:pPr>
      <w:r>
        <w:rPr>
          <w:rFonts w:ascii="Verdana" w:cs="Verdana" w:eastAsia="Verdana" w:hAnsi="Verdana"/>
          <w:sz w:val="18"/>
          <w:szCs w:val="18"/>
          <w:b w:val="1"/>
          <w:bCs w:val="1"/>
          <w:color w:val="auto"/>
        </w:rPr>
        <w:t>Commission file number 001-40960</w:t>
      </w:r>
    </w:p>
    <w:p>
      <w:pPr>
        <w:spacing w:after="0" w:line="93" w:lineRule="exact"/>
        <w:rPr>
          <w:sz w:val="24"/>
          <w:szCs w:val="24"/>
          <w:color w:val="auto"/>
        </w:rPr>
      </w:pPr>
    </w:p>
    <w:p>
      <w:pPr>
        <w:jc w:val="center"/>
        <w:ind w:right="20"/>
        <w:spacing w:after="0"/>
        <w:rPr>
          <w:sz w:val="20"/>
          <w:szCs w:val="20"/>
          <w:color w:val="auto"/>
        </w:rPr>
      </w:pPr>
      <w:r>
        <w:rPr>
          <w:rFonts w:ascii="Verdana" w:cs="Verdana" w:eastAsia="Verdana" w:hAnsi="Verdana"/>
          <w:sz w:val="32"/>
          <w:szCs w:val="32"/>
          <w:b w:val="1"/>
          <w:bCs w:val="1"/>
          <w:color w:val="231F20"/>
        </w:rPr>
        <w:t>Arteris, Inc.</w:t>
      </w:r>
    </w:p>
    <w:p>
      <w:pPr>
        <w:spacing w:after="0" w:line="5" w:lineRule="exact"/>
        <w:rPr>
          <w:sz w:val="24"/>
          <w:szCs w:val="24"/>
          <w:color w:val="auto"/>
        </w:rPr>
      </w:pPr>
    </w:p>
    <w:p>
      <w:pPr>
        <w:jc w:val="center"/>
        <w:spacing w:after="0"/>
        <w:rPr>
          <w:sz w:val="20"/>
          <w:szCs w:val="20"/>
          <w:color w:val="auto"/>
        </w:rPr>
      </w:pPr>
      <w:r>
        <w:rPr>
          <w:rFonts w:ascii="Verdana" w:cs="Verdana" w:eastAsia="Verdana" w:hAnsi="Verdana"/>
          <w:sz w:val="16"/>
          <w:szCs w:val="16"/>
          <w:color w:val="auto"/>
        </w:rPr>
        <w:t>(Exact name of registrant as specified in its charter)</w:t>
      </w:r>
    </w:p>
    <w:p>
      <w:pPr>
        <w:sectPr>
          <w:pgSz w:w="11900" w:h="16838" w:orient="portrait"/>
          <w:cols w:equalWidth="0" w:num="1">
            <w:col w:w="11260"/>
          </w:cols>
          <w:pgMar w:left="320" w:top="225" w:right="319" w:bottom="1440" w:gutter="0" w:footer="0" w:header="0"/>
        </w:sectPr>
      </w:pPr>
    </w:p>
    <w:p>
      <w:pPr>
        <w:spacing w:after="0" w:line="161" w:lineRule="exact"/>
        <w:rPr>
          <w:sz w:val="24"/>
          <w:szCs w:val="24"/>
          <w:color w:val="auto"/>
        </w:rPr>
      </w:pPr>
    </w:p>
    <w:p>
      <w:pPr>
        <w:ind w:left="2480"/>
        <w:spacing w:after="0"/>
        <w:rPr>
          <w:sz w:val="20"/>
          <w:szCs w:val="20"/>
          <w:color w:val="auto"/>
        </w:rPr>
      </w:pPr>
      <w:r>
        <w:rPr>
          <w:rFonts w:ascii="Verdana" w:cs="Verdana" w:eastAsia="Verdana" w:hAnsi="Verdana"/>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Verdana" w:cs="Verdana" w:eastAsia="Verdana" w:hAnsi="Verdana"/>
          <w:sz w:val="14"/>
          <w:szCs w:val="14"/>
          <w:b w:val="1"/>
          <w:bCs w:val="1"/>
          <w:color w:val="auto"/>
        </w:rPr>
        <w:t>27-0117058</w:t>
      </w:r>
    </w:p>
    <w:p>
      <w:pPr>
        <w:spacing w:after="0" w:line="46" w:lineRule="exact"/>
        <w:rPr>
          <w:sz w:val="24"/>
          <w:szCs w:val="24"/>
          <w:color w:val="auto"/>
        </w:rPr>
      </w:pPr>
    </w:p>
    <w:p>
      <w:pPr>
        <w:sectPr>
          <w:pgSz w:w="11900" w:h="16838" w:orient="portrait"/>
          <w:cols w:equalWidth="0" w:num="2">
            <w:col w:w="7320" w:space="720"/>
            <w:col w:w="3220"/>
          </w:cols>
          <w:pgMar w:left="320" w:top="225" w:right="319" w:bottom="1440" w:gutter="0" w:footer="0" w:header="0"/>
          <w:type w:val="continuous"/>
        </w:sectPr>
      </w:pPr>
    </w:p>
    <w:p>
      <w:pPr>
        <w:ind w:left="700"/>
        <w:spacing w:after="0"/>
        <w:rPr>
          <w:sz w:val="20"/>
          <w:szCs w:val="20"/>
          <w:color w:val="auto"/>
        </w:rPr>
      </w:pPr>
      <w:r>
        <w:rPr>
          <w:rFonts w:ascii="Verdana" w:cs="Verdana" w:eastAsia="Verdana" w:hAnsi="Verdana"/>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Verdana" w:cs="Verdana" w:eastAsia="Verdana" w:hAnsi="Verdana"/>
          <w:sz w:val="14"/>
          <w:szCs w:val="14"/>
          <w:color w:val="auto"/>
        </w:rPr>
        <w:t>(I.R.S. Employer Identification No.)</w:t>
      </w:r>
    </w:p>
    <w:p>
      <w:pPr>
        <w:spacing w:after="0" w:line="92" w:lineRule="exact"/>
        <w:rPr>
          <w:sz w:val="24"/>
          <w:szCs w:val="24"/>
          <w:color w:val="auto"/>
        </w:rPr>
      </w:pPr>
    </w:p>
    <w:p>
      <w:pPr>
        <w:sectPr>
          <w:pgSz w:w="11900" w:h="16838" w:orient="portrait"/>
          <w:cols w:equalWidth="0" w:num="2">
            <w:col w:w="6560" w:space="720"/>
            <w:col w:w="3980"/>
          </w:cols>
          <w:pgMar w:left="320" w:top="225" w:right="319" w:bottom="1440" w:gutter="0" w:footer="0" w:header="0"/>
          <w:type w:val="continuous"/>
        </w:sectPr>
      </w:pPr>
    </w:p>
    <w:p>
      <w:pPr>
        <w:jc w:val="center"/>
        <w:ind w:right="-19"/>
        <w:spacing w:after="0"/>
        <w:rPr>
          <w:sz w:val="20"/>
          <w:szCs w:val="20"/>
          <w:color w:val="auto"/>
        </w:rPr>
      </w:pPr>
      <w:r>
        <w:rPr>
          <w:rFonts w:ascii="Verdana" w:cs="Verdana" w:eastAsia="Verdana" w:hAnsi="Verdana"/>
          <w:sz w:val="14"/>
          <w:szCs w:val="14"/>
          <w:b w:val="1"/>
          <w:bCs w:val="1"/>
          <w:color w:val="auto"/>
        </w:rPr>
        <w:t>900 E. Hamilton Ave., Suite 300</w:t>
      </w:r>
    </w:p>
    <w:p>
      <w:pPr>
        <w:jc w:val="center"/>
        <w:ind w:right="-19"/>
        <w:spacing w:after="0" w:line="228" w:lineRule="auto"/>
        <w:rPr>
          <w:sz w:val="20"/>
          <w:szCs w:val="20"/>
          <w:color w:val="auto"/>
        </w:rPr>
      </w:pPr>
      <w:r>
        <w:rPr>
          <w:rFonts w:ascii="Verdana" w:cs="Verdana" w:eastAsia="Verdana" w:hAnsi="Verdana"/>
          <w:sz w:val="14"/>
          <w:szCs w:val="14"/>
          <w:b w:val="1"/>
          <w:bCs w:val="1"/>
          <w:color w:val="auto"/>
        </w:rPr>
        <w:t>Campbell, CA 95008</w:t>
      </w:r>
    </w:p>
    <w:p>
      <w:pPr>
        <w:jc w:val="center"/>
        <w:ind w:right="-19"/>
        <w:spacing w:after="0"/>
        <w:rPr>
          <w:sz w:val="20"/>
          <w:szCs w:val="20"/>
          <w:color w:val="auto"/>
        </w:rPr>
      </w:pPr>
      <w:r>
        <w:rPr>
          <w:rFonts w:ascii="Verdana" w:cs="Verdana" w:eastAsia="Verdana" w:hAnsi="Verdana"/>
          <w:sz w:val="14"/>
          <w:szCs w:val="14"/>
          <w:b w:val="1"/>
          <w:bCs w:val="1"/>
          <w:color w:val="auto"/>
        </w:rPr>
        <w:t>(408) 470-7300</w:t>
      </w:r>
    </w:p>
    <w:p>
      <w:pPr>
        <w:spacing w:after="0" w:line="37" w:lineRule="exact"/>
        <w:rPr>
          <w:sz w:val="24"/>
          <w:szCs w:val="24"/>
          <w:color w:val="auto"/>
        </w:rPr>
      </w:pPr>
    </w:p>
    <w:p>
      <w:pPr>
        <w:ind w:left="1540"/>
        <w:spacing w:after="0"/>
        <w:rPr>
          <w:sz w:val="20"/>
          <w:szCs w:val="20"/>
          <w:color w:val="auto"/>
        </w:rPr>
      </w:pPr>
      <w:r>
        <w:rPr>
          <w:rFonts w:ascii="Verdana" w:cs="Verdana" w:eastAsia="Verdana" w:hAnsi="Verdana"/>
          <w:sz w:val="13"/>
          <w:szCs w:val="13"/>
          <w:b w:val="1"/>
          <w:bCs w:val="1"/>
          <w:color w:val="auto"/>
        </w:rPr>
        <w:t>(Address, including zip code, and telephone number, including area code, of registrant’s principal executive offices)</w:t>
      </w:r>
    </w:p>
    <w:p>
      <w:pPr>
        <w:spacing w:after="0" w:line="215" w:lineRule="exact"/>
        <w:rPr>
          <w:sz w:val="24"/>
          <w:szCs w:val="24"/>
          <w:color w:val="auto"/>
        </w:rPr>
      </w:pPr>
    </w:p>
    <w:p>
      <w:pPr>
        <w:spacing w:after="0"/>
        <w:rPr>
          <w:sz w:val="20"/>
          <w:szCs w:val="20"/>
          <w:color w:val="auto"/>
        </w:rPr>
      </w:pPr>
      <w:r>
        <w:rPr>
          <w:rFonts w:ascii="Verdana" w:cs="Verdana" w:eastAsia="Verdana" w:hAnsi="Verdana"/>
          <w:sz w:val="14"/>
          <w:szCs w:val="14"/>
          <w:b w:val="1"/>
          <w:bCs w:val="1"/>
          <w:color w:val="auto"/>
        </w:rPr>
        <w:t>Securities registered pursuant to Section 12(b) of the Act:</w:t>
      </w:r>
    </w:p>
    <w:p>
      <w:pPr>
        <w:spacing w:after="0" w:line="130" w:lineRule="exact"/>
        <w:rPr>
          <w:sz w:val="24"/>
          <w:szCs w:val="24"/>
          <w:color w:val="auto"/>
        </w:rPr>
      </w:pPr>
    </w:p>
    <w:tbl>
      <w:tblPr>
        <w:tblLayout w:type="fixed"/>
        <w:tblInd w:w="10" w:type="dxa"/>
        <w:tblCellMar>
          <w:top w:w="0" w:type="dxa"/>
          <w:left w:w="0" w:type="dxa"/>
          <w:bottom w:w="0" w:type="dxa"/>
          <w:right w:w="0" w:type="dxa"/>
        </w:tblCellMar>
      </w:tblPr>
      <w:tr>
        <w:trPr>
          <w:trHeight w:val="196"/>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Title of each class</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5"/>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Name of each exchange on which registered</w:t>
            </w:r>
          </w:p>
        </w:tc>
      </w:tr>
      <w:tr>
        <w:trPr>
          <w:trHeight w:val="183"/>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color w:val="auto"/>
                <w:w w:val="96"/>
              </w:rPr>
              <w:t>Common Stock, $0.001 par value</w:t>
            </w:r>
          </w:p>
        </w:tc>
        <w:tc>
          <w:tcPr>
            <w:tcW w:w="208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3"/>
                <w:szCs w:val="13"/>
                <w:color w:val="auto"/>
                <w:w w:val="98"/>
              </w:rPr>
              <w:t>AIP</w:t>
            </w:r>
          </w:p>
        </w:tc>
        <w:tc>
          <w:tcPr>
            <w:tcW w:w="458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3"/>
                <w:szCs w:val="13"/>
                <w:color w:val="auto"/>
                <w:w w:val="96"/>
              </w:rPr>
              <w:t>The Nasdaq Stock Market LLC</w:t>
            </w:r>
          </w:p>
        </w:tc>
      </w:tr>
    </w:tbl>
    <w:p>
      <w:pPr>
        <w:spacing w:after="0" w:line="193" w:lineRule="exact"/>
        <w:rPr>
          <w:sz w:val="24"/>
          <w:szCs w:val="24"/>
          <w:color w:val="auto"/>
        </w:rPr>
      </w:pPr>
    </w:p>
    <w:p>
      <w:pPr>
        <w:spacing w:after="0"/>
        <w:rPr>
          <w:sz w:val="20"/>
          <w:szCs w:val="20"/>
          <w:color w:val="auto"/>
        </w:rPr>
      </w:pPr>
      <w:r>
        <w:rPr>
          <w:rFonts w:ascii="Verdana" w:cs="Verdana" w:eastAsia="Verdana" w:hAnsi="Verdana"/>
          <w:sz w:val="14"/>
          <w:szCs w:val="14"/>
          <w:b w:val="1"/>
          <w:bCs w:val="1"/>
          <w:color w:val="auto"/>
        </w:rPr>
        <w:t>Securities registered pursuant to section 12(g) of the Act:</w:t>
      </w:r>
    </w:p>
    <w:p>
      <w:pPr>
        <w:spacing w:after="0" w:line="100" w:lineRule="exact"/>
        <w:rPr>
          <w:sz w:val="24"/>
          <w:szCs w:val="24"/>
          <w:color w:val="auto"/>
        </w:rPr>
      </w:pPr>
    </w:p>
    <w:p>
      <w:pPr>
        <w:ind w:right="4380"/>
        <w:spacing w:after="0" w:line="466" w:lineRule="auto"/>
        <w:rPr>
          <w:sz w:val="20"/>
          <w:szCs w:val="20"/>
          <w:color w:val="auto"/>
        </w:rPr>
      </w:pPr>
      <w:r>
        <w:rPr>
          <w:rFonts w:ascii="Verdana" w:cs="Verdana" w:eastAsia="Verdana" w:hAnsi="Verdana"/>
          <w:sz w:val="10"/>
          <w:szCs w:val="10"/>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ind w:right="120"/>
        <w:spacing w:after="0" w:line="264" w:lineRule="auto"/>
        <w:rPr>
          <w:sz w:val="20"/>
          <w:szCs w:val="20"/>
          <w:color w:val="auto"/>
        </w:rPr>
      </w:pPr>
      <w:r>
        <w:rPr>
          <w:rFonts w:ascii="Verdana" w:cs="Verdana" w:eastAsia="Verdana" w:hAnsi="Verdana"/>
          <w:sz w:val="10"/>
          <w:szCs w:val="1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84" w:lineRule="exact"/>
        <w:rPr>
          <w:sz w:val="24"/>
          <w:szCs w:val="24"/>
          <w:color w:val="auto"/>
        </w:rPr>
      </w:pPr>
    </w:p>
    <w:p>
      <w:pPr>
        <w:ind w:right="380"/>
        <w:spacing w:after="0" w:line="264" w:lineRule="auto"/>
        <w:rPr>
          <w:sz w:val="20"/>
          <w:szCs w:val="20"/>
          <w:color w:val="auto"/>
        </w:rPr>
      </w:pPr>
      <w:r>
        <w:rPr>
          <w:rFonts w:ascii="Verdana" w:cs="Verdana" w:eastAsia="Verdana" w:hAnsi="Verdana"/>
          <w:sz w:val="10"/>
          <w:szCs w:val="10"/>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84" w:lineRule="exact"/>
        <w:rPr>
          <w:sz w:val="24"/>
          <w:szCs w:val="24"/>
          <w:color w:val="auto"/>
        </w:rPr>
      </w:pPr>
    </w:p>
    <w:p>
      <w:pPr>
        <w:ind w:right="20"/>
        <w:spacing w:after="0" w:line="291" w:lineRule="auto"/>
        <w:rPr>
          <w:sz w:val="20"/>
          <w:szCs w:val="20"/>
          <w:color w:val="auto"/>
        </w:rPr>
      </w:pPr>
      <w:r>
        <w:rPr>
          <w:rFonts w:ascii="Verdana" w:cs="Verdana" w:eastAsia="Verdana" w:hAnsi="Verdana"/>
          <w:sz w:val="10"/>
          <w:szCs w:val="10"/>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4" w:lineRule="exact"/>
        <w:rPr>
          <w:sz w:val="24"/>
          <w:szCs w:val="24"/>
          <w:color w:val="auto"/>
        </w:rPr>
      </w:pPr>
    </w:p>
    <w:tbl>
      <w:tblPr>
        <w:tblLayout w:type="fixed"/>
        <w:tblInd w:w="20" w:type="dxa"/>
        <w:tblCellMar>
          <w:top w:w="0" w:type="dxa"/>
          <w:left w:w="0" w:type="dxa"/>
          <w:bottom w:w="0" w:type="dxa"/>
          <w:right w:w="0" w:type="dxa"/>
        </w:tblCellMar>
      </w:tblPr>
      <w:tr>
        <w:trPr>
          <w:trHeight w:val="134"/>
        </w:trPr>
        <w:tc>
          <w:tcPr>
            <w:tcW w:w="2840" w:type="dxa"/>
            <w:vAlign w:val="bottom"/>
          </w:tcPr>
          <w:p>
            <w:pPr>
              <w:spacing w:after="0"/>
              <w:rPr>
                <w:sz w:val="20"/>
                <w:szCs w:val="20"/>
                <w:color w:val="auto"/>
              </w:rPr>
            </w:pPr>
            <w:r>
              <w:rPr>
                <w:rFonts w:ascii="Verdana" w:cs="Verdana" w:eastAsia="Verdana" w:hAnsi="Verdana"/>
                <w:sz w:val="10"/>
                <w:szCs w:val="10"/>
                <w:color w:val="auto"/>
              </w:rPr>
              <w:t>Large accelerated filer</w:t>
            </w:r>
          </w:p>
        </w:tc>
        <w:tc>
          <w:tcPr>
            <w:tcW w:w="2260" w:type="dxa"/>
            <w:vAlign w:val="bottom"/>
          </w:tcPr>
          <w:p>
            <w:pPr>
              <w:ind w:left="1660"/>
              <w:spacing w:after="0"/>
              <w:rPr>
                <w:sz w:val="20"/>
                <w:szCs w:val="20"/>
                <w:color w:val="auto"/>
              </w:rPr>
            </w:pPr>
            <w:r>
              <w:rPr>
                <w:rFonts w:ascii="Verdana" w:cs="Verdana" w:eastAsia="Verdana" w:hAnsi="Verdana"/>
                <w:sz w:val="10"/>
                <w:szCs w:val="10"/>
                <w:color w:val="auto"/>
              </w:rPr>
              <w:t>o</w:t>
            </w:r>
          </w:p>
        </w:tc>
        <w:tc>
          <w:tcPr>
            <w:tcW w:w="3500" w:type="dxa"/>
            <w:vAlign w:val="bottom"/>
          </w:tcPr>
          <w:p>
            <w:pPr>
              <w:ind w:left="540"/>
              <w:spacing w:after="0"/>
              <w:rPr>
                <w:sz w:val="20"/>
                <w:szCs w:val="20"/>
                <w:color w:val="auto"/>
              </w:rPr>
            </w:pPr>
            <w:r>
              <w:rPr>
                <w:rFonts w:ascii="Verdana" w:cs="Verdana" w:eastAsia="Verdana" w:hAnsi="Verdana"/>
                <w:sz w:val="10"/>
                <w:szCs w:val="10"/>
                <w:color w:val="auto"/>
              </w:rPr>
              <w:t>Accelerated filer</w:t>
            </w:r>
          </w:p>
        </w:tc>
        <w:tc>
          <w:tcPr>
            <w:tcW w:w="1600" w:type="dxa"/>
            <w:vAlign w:val="bottom"/>
          </w:tcPr>
          <w:p>
            <w:pPr>
              <w:ind w:left="1540"/>
              <w:spacing w:after="0"/>
              <w:rPr>
                <w:sz w:val="20"/>
                <w:szCs w:val="20"/>
                <w:color w:val="auto"/>
              </w:rPr>
            </w:pPr>
            <w:r>
              <w:rPr>
                <w:rFonts w:ascii="Verdana" w:cs="Verdana" w:eastAsia="Verdana" w:hAnsi="Verdana"/>
                <w:sz w:val="9"/>
                <w:szCs w:val="9"/>
                <w:color w:val="auto"/>
                <w:w w:val="71"/>
              </w:rPr>
              <w:t>o</w:t>
            </w:r>
          </w:p>
        </w:tc>
      </w:tr>
      <w:tr>
        <w:trPr>
          <w:trHeight w:val="176"/>
        </w:trPr>
        <w:tc>
          <w:tcPr>
            <w:tcW w:w="2840" w:type="dxa"/>
            <w:vAlign w:val="bottom"/>
          </w:tcPr>
          <w:p>
            <w:pPr>
              <w:spacing w:after="0"/>
              <w:rPr>
                <w:sz w:val="20"/>
                <w:szCs w:val="20"/>
                <w:color w:val="auto"/>
              </w:rPr>
            </w:pPr>
            <w:r>
              <w:rPr>
                <w:rFonts w:ascii="Verdana" w:cs="Verdana" w:eastAsia="Verdana" w:hAnsi="Verdana"/>
                <w:sz w:val="10"/>
                <w:szCs w:val="10"/>
                <w:color w:val="auto"/>
              </w:rPr>
              <w:t>Non-accelerated filer</w:t>
            </w:r>
          </w:p>
        </w:tc>
        <w:tc>
          <w:tcPr>
            <w:tcW w:w="2260" w:type="dxa"/>
            <w:vAlign w:val="bottom"/>
          </w:tcPr>
          <w:p>
            <w:pPr>
              <w:ind w:left="1660"/>
              <w:spacing w:after="0"/>
              <w:rPr>
                <w:sz w:val="20"/>
                <w:szCs w:val="20"/>
                <w:color w:val="auto"/>
              </w:rPr>
            </w:pPr>
            <w:r>
              <w:rPr>
                <w:rFonts w:ascii="Verdana" w:cs="Verdana" w:eastAsia="Verdana" w:hAnsi="Verdana"/>
                <w:sz w:val="10"/>
                <w:szCs w:val="10"/>
                <w:color w:val="auto"/>
              </w:rPr>
              <w:t>x</w:t>
            </w:r>
          </w:p>
        </w:tc>
        <w:tc>
          <w:tcPr>
            <w:tcW w:w="3500" w:type="dxa"/>
            <w:vAlign w:val="bottom"/>
          </w:tcPr>
          <w:p>
            <w:pPr>
              <w:ind w:left="540"/>
              <w:spacing w:after="0"/>
              <w:rPr>
                <w:sz w:val="20"/>
                <w:szCs w:val="20"/>
                <w:color w:val="auto"/>
              </w:rPr>
            </w:pPr>
            <w:r>
              <w:rPr>
                <w:rFonts w:ascii="Verdana" w:cs="Verdana" w:eastAsia="Verdana" w:hAnsi="Verdana"/>
                <w:sz w:val="10"/>
                <w:szCs w:val="10"/>
                <w:color w:val="auto"/>
              </w:rPr>
              <w:t>Smaller reporting company</w:t>
            </w:r>
          </w:p>
        </w:tc>
        <w:tc>
          <w:tcPr>
            <w:tcW w:w="1600" w:type="dxa"/>
            <w:vAlign w:val="bottom"/>
          </w:tcPr>
          <w:p>
            <w:pPr>
              <w:ind w:left="1540"/>
              <w:spacing w:after="0"/>
              <w:rPr>
                <w:sz w:val="20"/>
                <w:szCs w:val="20"/>
                <w:color w:val="auto"/>
              </w:rPr>
            </w:pPr>
            <w:r>
              <w:rPr>
                <w:rFonts w:ascii="Verdana" w:cs="Verdana" w:eastAsia="Verdana" w:hAnsi="Verdana"/>
                <w:sz w:val="9"/>
                <w:szCs w:val="9"/>
                <w:color w:val="auto"/>
                <w:w w:val="73"/>
              </w:rPr>
              <w:t>x</w:t>
            </w:r>
          </w:p>
        </w:tc>
      </w:tr>
      <w:tr>
        <w:trPr>
          <w:trHeight w:val="175"/>
        </w:trPr>
        <w:tc>
          <w:tcPr>
            <w:tcW w:w="28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500" w:type="dxa"/>
            <w:vAlign w:val="bottom"/>
          </w:tcPr>
          <w:p>
            <w:pPr>
              <w:ind w:left="540"/>
              <w:spacing w:after="0"/>
              <w:rPr>
                <w:sz w:val="20"/>
                <w:szCs w:val="20"/>
                <w:color w:val="auto"/>
              </w:rPr>
            </w:pPr>
            <w:r>
              <w:rPr>
                <w:rFonts w:ascii="Verdana" w:cs="Verdana" w:eastAsia="Verdana" w:hAnsi="Verdana"/>
                <w:sz w:val="10"/>
                <w:szCs w:val="10"/>
                <w:color w:val="auto"/>
              </w:rPr>
              <w:t>Emerging growth company</w:t>
            </w:r>
          </w:p>
        </w:tc>
        <w:tc>
          <w:tcPr>
            <w:tcW w:w="1600" w:type="dxa"/>
            <w:vAlign w:val="bottom"/>
          </w:tcPr>
          <w:p>
            <w:pPr>
              <w:ind w:left="1540"/>
              <w:spacing w:after="0"/>
              <w:rPr>
                <w:sz w:val="20"/>
                <w:szCs w:val="20"/>
                <w:color w:val="auto"/>
              </w:rPr>
            </w:pPr>
            <w:r>
              <w:rPr>
                <w:rFonts w:ascii="Verdana" w:cs="Verdana" w:eastAsia="Verdana" w:hAnsi="Verdana"/>
                <w:sz w:val="9"/>
                <w:szCs w:val="9"/>
                <w:color w:val="auto"/>
                <w:w w:val="73"/>
              </w:rPr>
              <w:t>x</w:t>
            </w:r>
          </w:p>
        </w:tc>
      </w:tr>
    </w:tbl>
    <w:p>
      <w:pPr>
        <w:spacing w:after="0" w:line="96" w:lineRule="exact"/>
        <w:rPr>
          <w:sz w:val="24"/>
          <w:szCs w:val="24"/>
          <w:color w:val="auto"/>
        </w:rPr>
      </w:pPr>
    </w:p>
    <w:p>
      <w:pPr>
        <w:ind w:right="40"/>
        <w:spacing w:after="0" w:line="291" w:lineRule="auto"/>
        <w:rPr>
          <w:sz w:val="20"/>
          <w:szCs w:val="20"/>
          <w:color w:val="auto"/>
        </w:rPr>
      </w:pPr>
      <w:r>
        <w:rPr>
          <w:rFonts w:ascii="Verdana" w:cs="Verdana" w:eastAsia="Verdana" w:hAnsi="Verdana"/>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 w:lineRule="exact"/>
        <w:rPr>
          <w:sz w:val="24"/>
          <w:szCs w:val="24"/>
          <w:color w:val="auto"/>
        </w:rPr>
      </w:pPr>
    </w:p>
    <w:p>
      <w:pPr>
        <w:ind w:right="280"/>
        <w:spacing w:after="0" w:line="264" w:lineRule="auto"/>
        <w:rPr>
          <w:sz w:val="20"/>
          <w:szCs w:val="20"/>
          <w:color w:val="auto"/>
        </w:rPr>
      </w:pPr>
      <w:r>
        <w:rPr>
          <w:rFonts w:ascii="Verdana" w:cs="Verdana" w:eastAsia="Verdana" w:hAnsi="Verdana"/>
          <w:sz w:val="10"/>
          <w:szCs w:val="10"/>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o</w:t>
      </w:r>
    </w:p>
    <w:p>
      <w:pPr>
        <w:spacing w:after="0" w:line="30" w:lineRule="exact"/>
        <w:rPr>
          <w:sz w:val="24"/>
          <w:szCs w:val="24"/>
          <w:color w:val="auto"/>
        </w:rPr>
      </w:pPr>
    </w:p>
    <w:p>
      <w:pPr>
        <w:ind w:right="180"/>
        <w:spacing w:after="0" w:line="264" w:lineRule="auto"/>
        <w:rPr>
          <w:sz w:val="20"/>
          <w:szCs w:val="20"/>
          <w:color w:val="auto"/>
        </w:rPr>
      </w:pPr>
      <w:r>
        <w:rPr>
          <w:rFonts w:ascii="Verdana" w:cs="Verdana" w:eastAsia="Verdana" w:hAnsi="Verdana"/>
          <w:sz w:val="10"/>
          <w:szCs w:val="10"/>
          <w:color w:val="auto"/>
        </w:rPr>
        <w:t>If securities are registered pursuant to Section 12(b) of the Act, indicate by check mark whether the financial statements of the registrant included in the filing reflect the correction of an error to previously issued financial statements. o</w:t>
      </w:r>
    </w:p>
    <w:p>
      <w:pPr>
        <w:spacing w:after="0" w:line="43" w:lineRule="exact"/>
        <w:rPr>
          <w:sz w:val="24"/>
          <w:szCs w:val="24"/>
          <w:color w:val="auto"/>
        </w:rPr>
      </w:pPr>
    </w:p>
    <w:p>
      <w:pPr>
        <w:ind w:right="240"/>
        <w:spacing w:after="0" w:line="264" w:lineRule="auto"/>
        <w:rPr>
          <w:sz w:val="20"/>
          <w:szCs w:val="20"/>
          <w:color w:val="auto"/>
        </w:rPr>
      </w:pPr>
      <w:r>
        <w:rPr>
          <w:rFonts w:ascii="Verdana" w:cs="Verdana" w:eastAsia="Verdana" w:hAnsi="Verdana"/>
          <w:sz w:val="10"/>
          <w:szCs w:val="10"/>
          <w:color w:val="auto"/>
        </w:rPr>
        <w:t>Indicate by check mark whether any of those error corrections are restatements that required a recovery analysis of incentive-based compensation received by any of the registrant's executive officers during the relevant recovery period pursuant to Section 240.10D-1(b). o</w:t>
      </w:r>
    </w:p>
    <w:p>
      <w:pPr>
        <w:spacing w:after="0" w:line="30" w:lineRule="exact"/>
        <w:rPr>
          <w:sz w:val="24"/>
          <w:szCs w:val="24"/>
          <w:color w:val="auto"/>
        </w:rPr>
      </w:pPr>
    </w:p>
    <w:p>
      <w:pPr>
        <w:spacing w:after="0"/>
        <w:rPr>
          <w:sz w:val="20"/>
          <w:szCs w:val="20"/>
          <w:color w:val="auto"/>
        </w:rPr>
      </w:pPr>
      <w:r>
        <w:rPr>
          <w:rFonts w:ascii="Verdana" w:cs="Verdana" w:eastAsia="Verdana" w:hAnsi="Verdana"/>
          <w:sz w:val="10"/>
          <w:szCs w:val="10"/>
          <w:color w:val="auto"/>
        </w:rPr>
        <w:t>Indicate by check mark whether the registrant is a shell company (as defined in Rule 12b-2 of the Act). Yes o No x</w:t>
      </w:r>
    </w:p>
    <w:p>
      <w:pPr>
        <w:spacing w:after="0" w:line="54" w:lineRule="exact"/>
        <w:rPr>
          <w:sz w:val="24"/>
          <w:szCs w:val="24"/>
          <w:color w:val="auto"/>
        </w:rPr>
      </w:pPr>
    </w:p>
    <w:p>
      <w:pPr>
        <w:ind w:right="200"/>
        <w:spacing w:after="0" w:line="253" w:lineRule="auto"/>
        <w:rPr>
          <w:sz w:val="20"/>
          <w:szCs w:val="20"/>
          <w:color w:val="auto"/>
        </w:rPr>
      </w:pPr>
      <w:r>
        <w:rPr>
          <w:rFonts w:ascii="Verdana" w:cs="Verdana" w:eastAsia="Verdana" w:hAnsi="Verdana"/>
          <w:sz w:val="10"/>
          <w:szCs w:val="10"/>
          <w:color w:val="auto"/>
        </w:rPr>
        <w:t>As of June 30, 2024, the aggregate market value of shares held by non-affiliates of the registrant (based upon the closing sale prices of such shares on the Nasdaq Global Select Market on June 30, 2024) was approximately $202.1 million. Shares of common stock held by each officer, director and entities affiliated with directors have been excluded because such persons may be deemed to be “affiliates” as that term is</w:t>
      </w:r>
    </w:p>
    <w:p>
      <w:pPr>
        <w:spacing w:after="0"/>
        <w:rPr>
          <w:sz w:val="20"/>
          <w:szCs w:val="20"/>
          <w:color w:val="auto"/>
        </w:rPr>
      </w:pPr>
      <w:r>
        <w:rPr>
          <w:rFonts w:ascii="Verdana" w:cs="Verdana" w:eastAsia="Verdana" w:hAnsi="Verdana"/>
          <w:sz w:val="10"/>
          <w:szCs w:val="10"/>
          <w:color w:val="auto"/>
        </w:rPr>
        <w:t>defined under the rules and regulations of the Exchange Act. This determination of affiliate status is not necessarily a conclusive determination for any other purpose.</w:t>
      </w:r>
    </w:p>
    <w:p>
      <w:pPr>
        <w:spacing w:after="0" w:line="54" w:lineRule="exact"/>
        <w:rPr>
          <w:sz w:val="24"/>
          <w:szCs w:val="24"/>
          <w:color w:val="auto"/>
        </w:rPr>
      </w:pPr>
    </w:p>
    <w:p>
      <w:pPr>
        <w:spacing w:after="0"/>
        <w:rPr>
          <w:sz w:val="20"/>
          <w:szCs w:val="20"/>
          <w:color w:val="auto"/>
        </w:rPr>
      </w:pPr>
      <w:r>
        <w:rPr>
          <w:rFonts w:ascii="Verdana" w:cs="Verdana" w:eastAsia="Verdana" w:hAnsi="Verdana"/>
          <w:sz w:val="10"/>
          <w:szCs w:val="10"/>
          <w:color w:val="auto"/>
        </w:rPr>
        <w:t>As of February 11, 2025, there were 40,948,190 shares of the registrant’s common stock outstanding.</w:t>
      </w:r>
    </w:p>
    <w:p>
      <w:pPr>
        <w:spacing w:after="0" w:line="103" w:lineRule="exact"/>
        <w:rPr>
          <w:sz w:val="24"/>
          <w:szCs w:val="24"/>
          <w:color w:val="auto"/>
        </w:rPr>
      </w:pPr>
    </w:p>
    <w:p>
      <w:pPr>
        <w:jc w:val="center"/>
        <w:ind w:right="20"/>
        <w:spacing w:after="0"/>
        <w:rPr>
          <w:sz w:val="20"/>
          <w:szCs w:val="20"/>
          <w:color w:val="auto"/>
        </w:rPr>
      </w:pPr>
      <w:r>
        <w:rPr>
          <w:rFonts w:ascii="Verdana" w:cs="Verdana" w:eastAsia="Verdana" w:hAnsi="Verdana"/>
          <w:sz w:val="11"/>
          <w:szCs w:val="11"/>
          <w:b w:val="1"/>
          <w:bCs w:val="1"/>
          <w:color w:val="auto"/>
        </w:rPr>
        <w:t>DOCUMENTS INCORPORATED BY REFERENCE</w:t>
      </w:r>
    </w:p>
    <w:p>
      <w:pPr>
        <w:spacing w:after="0" w:line="46" w:lineRule="exact"/>
        <w:rPr>
          <w:sz w:val="24"/>
          <w:szCs w:val="24"/>
          <w:color w:val="auto"/>
        </w:rPr>
      </w:pPr>
    </w:p>
    <w:p>
      <w:pPr>
        <w:ind w:right="200"/>
        <w:spacing w:after="0" w:line="291" w:lineRule="auto"/>
        <w:rPr>
          <w:sz w:val="20"/>
          <w:szCs w:val="20"/>
          <w:color w:val="auto"/>
        </w:rPr>
      </w:pPr>
      <w:r>
        <w:rPr>
          <w:rFonts w:ascii="Verdana" w:cs="Verdana" w:eastAsia="Verdana" w:hAnsi="Verdana"/>
          <w:sz w:val="10"/>
          <w:szCs w:val="10"/>
          <w:color w:val="auto"/>
        </w:rPr>
        <w:t>Portions of the registrant's definitive Proxy Statement relating to the 2024 Annual Meeting of Stockholders are incorporated herein by references in Part III of this Annual Report on Form 10-K to the extent stated herein. Such Proxy Statement will be filed with the Securities and Exchange Commission within 120 days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680720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60" w:type="dxa"/>
            <w:vAlign w:val="bottom"/>
            <w:gridSpan w:val="9"/>
          </w:tcPr>
          <w:p>
            <w:pPr>
              <w:ind w:left="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250"/>
        </w:trPr>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62"/>
        </w:trPr>
        <w:tc>
          <w:tcPr>
            <w:tcW w:w="10320" w:type="dxa"/>
            <w:vAlign w:val="bottom"/>
            <w:gridSpan w:val="28"/>
          </w:tcPr>
          <w:p>
            <w:pPr>
              <w:spacing w:after="0" w:line="162" w:lineRule="exact"/>
              <w:rPr>
                <w:sz w:val="20"/>
                <w:szCs w:val="20"/>
                <w:color w:val="auto"/>
              </w:rPr>
            </w:pPr>
            <w:r>
              <w:rPr>
                <w:rFonts w:ascii="Times New Roman" w:cs="Times New Roman" w:eastAsia="Times New Roman" w:hAnsi="Times New Roman"/>
                <w:sz w:val="17"/>
                <w:szCs w:val="17"/>
                <w:b w:val="1"/>
                <w:bCs w:val="1"/>
                <w:color w:val="0000FF"/>
              </w:rPr>
              <w:t>PART I</w:t>
            </w:r>
          </w:p>
        </w:tc>
        <w:tc>
          <w:tcPr>
            <w:tcW w:w="900" w:type="dxa"/>
            <w:vAlign w:val="bottom"/>
          </w:tcPr>
          <w:p>
            <w:pPr>
              <w:spacing w:after="0"/>
              <w:rPr>
                <w:sz w:val="14"/>
                <w:szCs w:val="14"/>
                <w:color w:val="auto"/>
              </w:rPr>
            </w:pPr>
          </w:p>
        </w:tc>
      </w:tr>
      <w:tr>
        <w:trPr>
          <w:trHeight w:val="20"/>
        </w:trPr>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97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Item 1. Business.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8"/>
              </w:rPr>
              <w:t>Item 1A. Risk Factors.</w:t>
            </w:r>
          </w:p>
        </w:tc>
        <w:tc>
          <w:tcPr>
            <w:tcW w:w="8220" w:type="dxa"/>
            <w:vAlign w:val="bottom"/>
            <w:gridSpan w:val="20"/>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09"/>
        </w:trPr>
        <w:tc>
          <w:tcPr>
            <w:tcW w:w="560" w:type="dxa"/>
            <w:vAlign w:val="bottom"/>
          </w:tcPr>
          <w:p>
            <w:pPr>
              <w:spacing w:after="0"/>
              <w:rPr>
                <w:sz w:val="18"/>
                <w:szCs w:val="18"/>
                <w:color w:val="auto"/>
              </w:rPr>
            </w:pPr>
          </w:p>
        </w:tc>
        <w:tc>
          <w:tcPr>
            <w:tcW w:w="26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w w:val="99"/>
              </w:rPr>
              <w:t>Item 1B. Unresolved Staff Comments.</w:t>
            </w:r>
          </w:p>
        </w:tc>
        <w:tc>
          <w:tcPr>
            <w:tcW w:w="7140" w:type="dxa"/>
            <w:vAlign w:val="bottom"/>
            <w:gridSpan w:val="13"/>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09"/>
        </w:trPr>
        <w:tc>
          <w:tcPr>
            <w:tcW w:w="560" w:type="dxa"/>
            <w:vAlign w:val="bottom"/>
          </w:tcPr>
          <w:p>
            <w:pPr>
              <w:spacing w:after="0"/>
              <w:rPr>
                <w:sz w:val="18"/>
                <w:szCs w:val="18"/>
                <w:color w:val="auto"/>
              </w:rPr>
            </w:pPr>
          </w:p>
        </w:tc>
        <w:tc>
          <w:tcPr>
            <w:tcW w:w="97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Item 1C. Cybersecurity Risk Management and Strategy.</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09"/>
        </w:trPr>
        <w:tc>
          <w:tcPr>
            <w:tcW w:w="560" w:type="dxa"/>
            <w:vAlign w:val="bottom"/>
          </w:tcPr>
          <w:p>
            <w:pPr>
              <w:spacing w:after="0"/>
              <w:rPr>
                <w:sz w:val="18"/>
                <w:szCs w:val="18"/>
                <w:color w:val="auto"/>
              </w:rPr>
            </w:pPr>
          </w:p>
        </w:tc>
        <w:tc>
          <w:tcPr>
            <w:tcW w:w="38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Item 2. Properties.</w:t>
            </w:r>
          </w:p>
        </w:tc>
        <w:tc>
          <w:tcPr>
            <w:tcW w:w="5960" w:type="dxa"/>
            <w:vAlign w:val="bottom"/>
            <w:gridSpan w:val="9"/>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97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Item 3. 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22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w w:val="99"/>
              </w:rPr>
              <w:t>Item 4. Mine Safety Disclosures.</w:t>
            </w:r>
          </w:p>
        </w:tc>
        <w:tc>
          <w:tcPr>
            <w:tcW w:w="7520" w:type="dxa"/>
            <w:vAlign w:val="bottom"/>
            <w:gridSpan w:val="16"/>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09"/>
        </w:trPr>
        <w:tc>
          <w:tcPr>
            <w:tcW w:w="10320" w:type="dxa"/>
            <w:vAlign w:val="bottom"/>
            <w:gridSpan w:val="28"/>
          </w:tcPr>
          <w:p>
            <w:pPr>
              <w:spacing w:after="0"/>
              <w:rPr>
                <w:sz w:val="20"/>
                <w:szCs w:val="20"/>
                <w:color w:val="auto"/>
              </w:rPr>
            </w:pPr>
            <w:r>
              <w:rPr>
                <w:rFonts w:ascii="Times New Roman" w:cs="Times New Roman" w:eastAsia="Times New Roman" w:hAnsi="Times New Roman"/>
                <w:sz w:val="17"/>
                <w:szCs w:val="17"/>
                <w:b w:val="1"/>
                <w:bCs w:val="1"/>
                <w:color w:val="0000FF"/>
              </w:rPr>
              <w:t>PART II</w:t>
            </w:r>
          </w:p>
        </w:tc>
        <w:tc>
          <w:tcPr>
            <w:tcW w:w="900" w:type="dxa"/>
            <w:vAlign w:val="bottom"/>
          </w:tcPr>
          <w:p>
            <w:pPr>
              <w:spacing w:after="0"/>
              <w:rPr>
                <w:sz w:val="18"/>
                <w:szCs w:val="18"/>
                <w:color w:val="auto"/>
              </w:rPr>
            </w:pPr>
          </w:p>
        </w:tc>
      </w:tr>
      <w:tr>
        <w:trPr>
          <w:trHeight w:val="20"/>
        </w:trPr>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97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Item 5. Market for Registrant’s Common Equity, Related Stockholder Matters and Issuer Purchases of Equity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09"/>
        </w:trPr>
        <w:tc>
          <w:tcPr>
            <w:tcW w:w="560" w:type="dxa"/>
            <w:vAlign w:val="bottom"/>
          </w:tcPr>
          <w:p>
            <w:pPr>
              <w:spacing w:after="0"/>
              <w:rPr>
                <w:sz w:val="18"/>
                <w:szCs w:val="18"/>
                <w:color w:val="auto"/>
              </w:rPr>
            </w:pPr>
          </w:p>
        </w:tc>
        <w:tc>
          <w:tcPr>
            <w:tcW w:w="822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7"/>
                <w:szCs w:val="17"/>
                <w:color w:val="0000FF"/>
              </w:rPr>
              <w:t>Item 6. [Reserved.]</w:t>
            </w:r>
          </w:p>
        </w:tc>
        <w:tc>
          <w:tcPr>
            <w:tcW w:w="1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97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Item 7. 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0"/>
        </w:trPr>
        <w:tc>
          <w:tcPr>
            <w:tcW w:w="560" w:type="dxa"/>
            <w:vAlign w:val="bottom"/>
          </w:tcPr>
          <w:p>
            <w:pPr>
              <w:spacing w:after="0"/>
              <w:rPr>
                <w:sz w:val="18"/>
                <w:szCs w:val="18"/>
                <w:color w:val="auto"/>
              </w:rPr>
            </w:pPr>
          </w:p>
        </w:tc>
        <w:tc>
          <w:tcPr>
            <w:tcW w:w="482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w w:val="99"/>
              </w:rPr>
              <w:t>Item 7A. Quantitative and Qualitative Disclosures About Market Risk.</w:t>
            </w:r>
          </w:p>
        </w:tc>
        <w:tc>
          <w:tcPr>
            <w:tcW w:w="1860" w:type="dxa"/>
            <w:vAlign w:val="bottom"/>
            <w:tcBorders>
              <w:top w:val="single" w:sz="8" w:color="0000FF"/>
            </w:tcBorders>
            <w:gridSpan w:val="3"/>
          </w:tcPr>
          <w:p>
            <w:pPr>
              <w:spacing w:after="0"/>
              <w:rPr>
                <w:sz w:val="18"/>
                <w:szCs w:val="18"/>
                <w:color w:val="auto"/>
              </w:rPr>
            </w:pPr>
          </w:p>
        </w:tc>
        <w:tc>
          <w:tcPr>
            <w:tcW w:w="3080" w:type="dxa"/>
            <w:vAlign w:val="bottom"/>
            <w:gridSpan w:val="4"/>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10"/>
        </w:trPr>
        <w:tc>
          <w:tcPr>
            <w:tcW w:w="560" w:type="dxa"/>
            <w:vAlign w:val="bottom"/>
          </w:tcPr>
          <w:p>
            <w:pPr>
              <w:spacing w:after="0"/>
              <w:rPr>
                <w:sz w:val="18"/>
                <w:szCs w:val="18"/>
                <w:color w:val="auto"/>
              </w:rPr>
            </w:pPr>
          </w:p>
        </w:tc>
        <w:tc>
          <w:tcPr>
            <w:tcW w:w="37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w w:val="99"/>
              </w:rPr>
              <w:t>Item 8. Financial Statements and Supplementary Data.</w:t>
            </w:r>
          </w:p>
        </w:tc>
        <w:tc>
          <w:tcPr>
            <w:tcW w:w="6040" w:type="dxa"/>
            <w:vAlign w:val="bottom"/>
            <w:gridSpan w:val="10"/>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09"/>
        </w:trPr>
        <w:tc>
          <w:tcPr>
            <w:tcW w:w="560" w:type="dxa"/>
            <w:vAlign w:val="bottom"/>
          </w:tcPr>
          <w:p>
            <w:pPr>
              <w:spacing w:after="0"/>
              <w:rPr>
                <w:sz w:val="18"/>
                <w:szCs w:val="18"/>
                <w:color w:val="auto"/>
              </w:rPr>
            </w:pPr>
          </w:p>
        </w:tc>
        <w:tc>
          <w:tcPr>
            <w:tcW w:w="97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Item 9. Changes in and Disagreements with Accountants on Accounting and Financial Disclosure.</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0"/>
        </w:trPr>
        <w:tc>
          <w:tcPr>
            <w:tcW w:w="560" w:type="dxa"/>
            <w:vAlign w:val="bottom"/>
          </w:tcPr>
          <w:p>
            <w:pPr>
              <w:spacing w:after="0"/>
              <w:rPr>
                <w:sz w:val="18"/>
                <w:szCs w:val="18"/>
                <w:color w:val="auto"/>
              </w:rPr>
            </w:pPr>
          </w:p>
        </w:tc>
        <w:tc>
          <w:tcPr>
            <w:tcW w:w="236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w w:val="99"/>
              </w:rPr>
              <w:t>Item 9A. Controls and Procedures.</w:t>
            </w:r>
          </w:p>
        </w:tc>
        <w:tc>
          <w:tcPr>
            <w:tcW w:w="4340" w:type="dxa"/>
            <w:vAlign w:val="bottom"/>
            <w:tcBorders>
              <w:top w:val="single" w:sz="8" w:color="0000FF"/>
            </w:tcBorders>
            <w:gridSpan w:val="11"/>
          </w:tcPr>
          <w:p>
            <w:pPr>
              <w:spacing w:after="0"/>
              <w:rPr>
                <w:sz w:val="18"/>
                <w:szCs w:val="18"/>
                <w:color w:val="auto"/>
              </w:rPr>
            </w:pPr>
          </w:p>
        </w:tc>
        <w:tc>
          <w:tcPr>
            <w:tcW w:w="306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09"/>
        </w:trPr>
        <w:tc>
          <w:tcPr>
            <w:tcW w:w="560" w:type="dxa"/>
            <w:vAlign w:val="bottom"/>
          </w:tcPr>
          <w:p>
            <w:pPr>
              <w:spacing w:after="0"/>
              <w:rPr>
                <w:sz w:val="18"/>
                <w:szCs w:val="18"/>
                <w:color w:val="auto"/>
              </w:rPr>
            </w:pPr>
          </w:p>
        </w:tc>
        <w:tc>
          <w:tcPr>
            <w:tcW w:w="19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w w:val="98"/>
              </w:rPr>
              <w:t>Item 9B. Other Information.</w:t>
            </w:r>
          </w:p>
        </w:tc>
        <w:tc>
          <w:tcPr>
            <w:tcW w:w="7840" w:type="dxa"/>
            <w:vAlign w:val="bottom"/>
            <w:gridSpan w:val="18"/>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09"/>
        </w:trPr>
        <w:tc>
          <w:tcPr>
            <w:tcW w:w="560" w:type="dxa"/>
            <w:vAlign w:val="bottom"/>
          </w:tcPr>
          <w:p>
            <w:pPr>
              <w:spacing w:after="0"/>
              <w:rPr>
                <w:sz w:val="18"/>
                <w:szCs w:val="18"/>
                <w:color w:val="auto"/>
              </w:rPr>
            </w:pPr>
          </w:p>
        </w:tc>
        <w:tc>
          <w:tcPr>
            <w:tcW w:w="97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Item 9C. Disclosure Regarding Foreign Jurisdictions that Prevent Inspections</w:t>
            </w:r>
            <w:r>
              <w:rPr>
                <w:rFonts w:ascii="Times New Roman" w:cs="Times New Roman" w:eastAsia="Times New Roman" w:hAnsi="Times New Roman"/>
                <w:sz w:val="17"/>
                <w:szCs w:val="17"/>
                <w:color w:val="00000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b w:val="1"/>
                <w:bCs w:val="1"/>
                <w:color w:val="0000FF"/>
                <w:w w:val="96"/>
              </w:rPr>
              <w:t>PART III</w:t>
            </w:r>
          </w:p>
        </w:tc>
        <w:tc>
          <w:tcPr>
            <w:tcW w:w="9620" w:type="dxa"/>
            <w:vAlign w:val="bottom"/>
            <w:gridSpan w:val="25"/>
          </w:tcPr>
          <w:p>
            <w:pPr>
              <w:spacing w:after="0"/>
              <w:rPr>
                <w:sz w:val="18"/>
                <w:szCs w:val="18"/>
                <w:color w:val="auto"/>
              </w:rPr>
            </w:pPr>
          </w:p>
        </w:tc>
        <w:tc>
          <w:tcPr>
            <w:tcW w:w="900" w:type="dxa"/>
            <w:vAlign w:val="bottom"/>
          </w:tcPr>
          <w:p>
            <w:pPr>
              <w:spacing w:after="0"/>
              <w:rPr>
                <w:sz w:val="18"/>
                <w:szCs w:val="18"/>
                <w:color w:val="auto"/>
              </w:rPr>
            </w:pPr>
          </w:p>
        </w:tc>
      </w:tr>
      <w:tr>
        <w:trPr>
          <w:trHeight w:val="209"/>
        </w:trPr>
        <w:tc>
          <w:tcPr>
            <w:tcW w:w="560" w:type="dxa"/>
            <w:vAlign w:val="bottom"/>
          </w:tcPr>
          <w:p>
            <w:pPr>
              <w:spacing w:after="0"/>
              <w:rPr>
                <w:sz w:val="18"/>
                <w:szCs w:val="18"/>
                <w:color w:val="auto"/>
              </w:rPr>
            </w:pPr>
          </w:p>
        </w:tc>
        <w:tc>
          <w:tcPr>
            <w:tcW w:w="97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Item 10. Directors, Executive Officers and Corporate Governance.</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09"/>
        </w:trPr>
        <w:tc>
          <w:tcPr>
            <w:tcW w:w="560" w:type="dxa"/>
            <w:vAlign w:val="bottom"/>
          </w:tcPr>
          <w:p>
            <w:pPr>
              <w:spacing w:after="0"/>
              <w:rPr>
                <w:sz w:val="18"/>
                <w:szCs w:val="18"/>
                <w:color w:val="auto"/>
              </w:rPr>
            </w:pPr>
          </w:p>
        </w:tc>
        <w:tc>
          <w:tcPr>
            <w:tcW w:w="452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Item 11. Executive Compensation.</w:t>
            </w:r>
          </w:p>
        </w:tc>
        <w:tc>
          <w:tcPr>
            <w:tcW w:w="5240" w:type="dxa"/>
            <w:vAlign w:val="bottom"/>
            <w:gridSpan w:val="8"/>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97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Item 12. Security Ownership of Certain Beneficial Owners and Management and Related Stockholder Matters.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10"/>
        </w:trPr>
        <w:tc>
          <w:tcPr>
            <w:tcW w:w="560" w:type="dxa"/>
            <w:vAlign w:val="bottom"/>
          </w:tcPr>
          <w:p>
            <w:pPr>
              <w:spacing w:after="0"/>
              <w:rPr>
                <w:sz w:val="18"/>
                <w:szCs w:val="18"/>
                <w:color w:val="auto"/>
              </w:rPr>
            </w:pPr>
          </w:p>
        </w:tc>
        <w:tc>
          <w:tcPr>
            <w:tcW w:w="5820" w:type="dxa"/>
            <w:vAlign w:val="bottom"/>
            <w:tcBorders>
              <w:top w:val="single" w:sz="8" w:color="0000FF"/>
              <w:bottom w:val="single" w:sz="8" w:color="0000FF"/>
            </w:tcBorders>
            <w:gridSpan w:val="22"/>
          </w:tcPr>
          <w:p>
            <w:pPr>
              <w:spacing w:after="0"/>
              <w:rPr>
                <w:sz w:val="20"/>
                <w:szCs w:val="20"/>
                <w:color w:val="auto"/>
              </w:rPr>
            </w:pPr>
            <w:r>
              <w:rPr>
                <w:rFonts w:ascii="Times New Roman" w:cs="Times New Roman" w:eastAsia="Times New Roman" w:hAnsi="Times New Roman"/>
                <w:sz w:val="17"/>
                <w:szCs w:val="17"/>
                <w:color w:val="0000FF"/>
                <w:w w:val="99"/>
              </w:rPr>
              <w:t>Item 13. Certain Relationships and Related Transactions, and Director Independence.</w:t>
            </w:r>
          </w:p>
        </w:tc>
        <w:tc>
          <w:tcPr>
            <w:tcW w:w="1740" w:type="dxa"/>
            <w:vAlign w:val="bottom"/>
            <w:tcBorders>
              <w:top w:val="single" w:sz="8" w:color="0000FF"/>
            </w:tcBorders>
            <w:gridSpan w:val="3"/>
          </w:tcPr>
          <w:p>
            <w:pPr>
              <w:spacing w:after="0"/>
              <w:rPr>
                <w:sz w:val="18"/>
                <w:szCs w:val="18"/>
                <w:color w:val="auto"/>
              </w:rPr>
            </w:pPr>
          </w:p>
        </w:tc>
        <w:tc>
          <w:tcPr>
            <w:tcW w:w="2200" w:type="dxa"/>
            <w:vAlign w:val="bottom"/>
            <w:gridSpan w:val="2"/>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09"/>
        </w:trPr>
        <w:tc>
          <w:tcPr>
            <w:tcW w:w="560" w:type="dxa"/>
            <w:vAlign w:val="bottom"/>
          </w:tcPr>
          <w:p>
            <w:pPr>
              <w:spacing w:after="0"/>
              <w:rPr>
                <w:sz w:val="18"/>
                <w:szCs w:val="18"/>
                <w:color w:val="auto"/>
              </w:rPr>
            </w:pPr>
          </w:p>
        </w:tc>
        <w:tc>
          <w:tcPr>
            <w:tcW w:w="97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Item 14. Principal Accounting Fees and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6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10320" w:type="dxa"/>
            <w:vAlign w:val="bottom"/>
            <w:gridSpan w:val="28"/>
          </w:tcPr>
          <w:p>
            <w:pPr>
              <w:spacing w:after="0"/>
              <w:rPr>
                <w:sz w:val="20"/>
                <w:szCs w:val="20"/>
                <w:color w:val="auto"/>
              </w:rPr>
            </w:pPr>
            <w:r>
              <w:rPr>
                <w:rFonts w:ascii="Times New Roman" w:cs="Times New Roman" w:eastAsia="Times New Roman" w:hAnsi="Times New Roman"/>
                <w:sz w:val="17"/>
                <w:szCs w:val="17"/>
                <w:b w:val="1"/>
                <w:bCs w:val="1"/>
                <w:color w:val="0000FF"/>
              </w:rPr>
              <w:t>PART IV</w:t>
            </w:r>
          </w:p>
        </w:tc>
        <w:tc>
          <w:tcPr>
            <w:tcW w:w="900" w:type="dxa"/>
            <w:vAlign w:val="bottom"/>
          </w:tcPr>
          <w:p>
            <w:pPr>
              <w:spacing w:after="0"/>
              <w:rPr>
                <w:sz w:val="18"/>
                <w:szCs w:val="18"/>
                <w:color w:val="auto"/>
              </w:rPr>
            </w:pPr>
          </w:p>
        </w:tc>
      </w:tr>
      <w:tr>
        <w:trPr>
          <w:trHeight w:val="20"/>
        </w:trPr>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636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3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w w:val="99"/>
              </w:rPr>
              <w:t>Item 15. Exhibits, Financial Statement Schedules.</w:t>
            </w:r>
          </w:p>
        </w:tc>
        <w:tc>
          <w:tcPr>
            <w:tcW w:w="6360" w:type="dxa"/>
            <w:vAlign w:val="bottom"/>
            <w:gridSpan w:val="11"/>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09"/>
        </w:trPr>
        <w:tc>
          <w:tcPr>
            <w:tcW w:w="560" w:type="dxa"/>
            <w:vAlign w:val="bottom"/>
          </w:tcPr>
          <w:p>
            <w:pPr>
              <w:spacing w:after="0"/>
              <w:rPr>
                <w:sz w:val="18"/>
                <w:szCs w:val="18"/>
                <w:color w:val="auto"/>
              </w:rPr>
            </w:pPr>
          </w:p>
        </w:tc>
        <w:tc>
          <w:tcPr>
            <w:tcW w:w="97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Item 16. Form 10-K Summary.</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7660" w:type="dxa"/>
            <w:vAlign w:val="bottom"/>
            <w:gridSpan w:val="1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10320" w:type="dxa"/>
            <w:vAlign w:val="bottom"/>
            <w:gridSpan w:val="28"/>
          </w:tcPr>
          <w:p>
            <w:pPr>
              <w:spacing w:after="0"/>
              <w:rPr>
                <w:sz w:val="20"/>
                <w:szCs w:val="20"/>
                <w:color w:val="auto"/>
              </w:rPr>
            </w:pPr>
            <w:r>
              <w:rPr>
                <w:rFonts w:ascii="Times New Roman" w:cs="Times New Roman" w:eastAsia="Times New Roman" w:hAnsi="Times New Roman"/>
                <w:sz w:val="17"/>
                <w:szCs w:val="17"/>
                <w:b w:val="1"/>
                <w:bCs w:val="1"/>
                <w:color w:val="0000FF"/>
              </w:rPr>
              <w:t>Signatures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0"/>
        </w:trPr>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All statements other than statements of historical facts contained in this report are forward-looking statements. Statements regarding our future results of operations and financial position, business strategy and plans and objectives of management for future operations, including, among others, statements regarding liquidity, growth and profitability strategies and factors and trends affecting our business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Annual Report on Form 10-K include, among other things, statements about:</w:t>
      </w:r>
    </w:p>
    <w:p>
      <w:pPr>
        <w:spacing w:after="0" w:line="7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revenue, expenses, and other operating results;</w:t>
      </w:r>
    </w:p>
    <w:p>
      <w:pPr>
        <w:spacing w:after="0" w:line="128"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acquire new customers and successfully retain existing customers;</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achieve or sustain our profitability;</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investments in our business, our anticipated capital expenditures, and our estimates regarding our capital requirements;</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costs and success of our sales and marketing efforts, and our ability to promote our brand;</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growth strategies;</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key personnel and our ability to identify, recruit, and retain skilled personnel;</w:t>
      </w:r>
    </w:p>
    <w:p>
      <w:pPr>
        <w:spacing w:after="0" w:line="128"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manage our growth;</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intellectual property rights and any costs associated therewith;</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beliefs and expectations regarding opportunities, developments and projections relating to our competitors and our industry; and</w:t>
      </w:r>
    </w:p>
    <w:p>
      <w:pPr>
        <w:spacing w:after="0" w:line="115" w:lineRule="exact"/>
        <w:rPr>
          <w:rFonts w:ascii="Arial" w:cs="Arial" w:eastAsia="Arial" w:hAnsi="Arial"/>
          <w:sz w:val="17"/>
          <w:szCs w:val="17"/>
          <w:color w:val="auto"/>
        </w:rPr>
      </w:pPr>
    </w:p>
    <w:p>
      <w:pPr>
        <w:ind w:left="660" w:hanging="328"/>
        <w:spacing w:after="0" w:line="284"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time during which we will be an emerging growth company under the Jumpstart Our Business Startup Act of 2012.</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forward-looking statements in this report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factors set forth under “Risk Factors.”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These forward-looking statements speak only as of the date of this Annual Report on Form 10-K. Except as required by applicable law, we do not plan to publicly update or revise any forward-looking statements contained in this report after we distribute this Annual Report on Form 10-K, whether as a result of any new information, future events or otherwise.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Our business is subject to numerous risks and uncertainties that you should be aware, including those described in the section entitled “Risk</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Factors.” The risks include the following:</w:t>
      </w:r>
    </w:p>
    <w:p>
      <w:pPr>
        <w:spacing w:after="0" w:line="99" w:lineRule="exact"/>
        <w:rPr>
          <w:sz w:val="20"/>
          <w:szCs w:val="20"/>
          <w:color w:val="auto"/>
        </w:rPr>
      </w:pPr>
    </w:p>
    <w:p>
      <w:pPr>
        <w:ind w:left="660" w:right="20" w:hanging="328"/>
        <w:spacing w:after="0" w:line="301"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face significant competition from larger companies and third-party providers that may deploy their resources so they can develop their IP solutions internally;</w:t>
      </w:r>
    </w:p>
    <w:p>
      <w:pPr>
        <w:spacing w:after="0" w:line="36"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a history of net losses, and we may not achieve or maintain profitability in the future;</w:t>
      </w:r>
    </w:p>
    <w:p>
      <w:pPr>
        <w:spacing w:after="0" w:line="115" w:lineRule="exact"/>
        <w:rPr>
          <w:rFonts w:ascii="Arial" w:cs="Arial" w:eastAsia="Arial" w:hAnsi="Arial"/>
          <w:sz w:val="17"/>
          <w:szCs w:val="17"/>
          <w:color w:val="auto"/>
        </w:rPr>
      </w:pPr>
    </w:p>
    <w:p>
      <w:pPr>
        <w:jc w:val="both"/>
        <w:ind w:left="660" w:hanging="328"/>
        <w:spacing w:after="0" w:line="266"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spacing w:after="0" w:line="64" w:lineRule="exact"/>
        <w:rPr>
          <w:rFonts w:ascii="Arial" w:cs="Arial" w:eastAsia="Arial" w:hAnsi="Arial"/>
          <w:sz w:val="17"/>
          <w:szCs w:val="17"/>
          <w:color w:val="auto"/>
        </w:rPr>
      </w:pPr>
    </w:p>
    <w:p>
      <w:pPr>
        <w:jc w:val="both"/>
        <w:ind w:left="660" w:hanging="328"/>
        <w:spacing w:after="0" w:line="266"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Political and regulatory conditions that contribute to uncertainty and market volatility including legislative, regulatory, trade and policy changes associated with the new U.S. presidential administration could materially and adversely impact our business operations and financial results;</w:t>
      </w:r>
    </w:p>
    <w:p>
      <w:pPr>
        <w:spacing w:after="0" w:line="65"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depend on market acceptance of third-party semiconductor IP;</w:t>
      </w:r>
    </w:p>
    <w:p>
      <w:pPr>
        <w:spacing w:after="0" w:line="115" w:lineRule="exact"/>
        <w:rPr>
          <w:rFonts w:ascii="Arial" w:cs="Arial" w:eastAsia="Arial" w:hAnsi="Arial"/>
          <w:sz w:val="17"/>
          <w:szCs w:val="17"/>
          <w:color w:val="auto"/>
        </w:rPr>
      </w:pPr>
    </w:p>
    <w:p>
      <w:pPr>
        <w:ind w:left="660" w:hanging="328"/>
        <w:spacing w:after="0" w:line="301"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success of our business depends on sustaining or growing our licensing revenue, and the failure to achieve such revenue would lead to a material decline in our results of operations;</w:t>
      </w:r>
    </w:p>
    <w:p>
      <w:pPr>
        <w:spacing w:after="0" w:line="36" w:lineRule="exact"/>
        <w:rPr>
          <w:rFonts w:ascii="Arial" w:cs="Arial" w:eastAsia="Arial" w:hAnsi="Arial"/>
          <w:sz w:val="17"/>
          <w:szCs w:val="17"/>
          <w:color w:val="auto"/>
        </w:rPr>
      </w:pPr>
    </w:p>
    <w:p>
      <w:pPr>
        <w:ind w:left="660" w:hanging="328"/>
        <w:spacing w:after="0" w:line="28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nature of the design win process requires us to incur significant expenses without any guarantee that research and development and sales efforts will generate revenue, which could adversely affect our financial results;</w:t>
      </w:r>
    </w:p>
    <w:p>
      <w:pPr>
        <w:spacing w:after="0" w:line="50" w:lineRule="exact"/>
        <w:rPr>
          <w:rFonts w:ascii="Arial" w:cs="Arial" w:eastAsia="Arial" w:hAnsi="Arial"/>
          <w:sz w:val="17"/>
          <w:szCs w:val="17"/>
          <w:color w:val="auto"/>
        </w:rPr>
      </w:pPr>
    </w:p>
    <w:p>
      <w:pPr>
        <w:jc w:val="both"/>
        <w:ind w:left="660" w:hanging="328"/>
        <w:spacing w:after="0" w:line="274" w:lineRule="auto"/>
        <w:tabs>
          <w:tab w:leader="none" w:pos="652"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Even if we succeed in securing design wins for our IP interconnect and other solutions and our System-on-Chip (SoC) Integration Automation software (SIA) (formerly IP deployment software) solutions, we may not generate timely or sufficient margins or margins from those wins and our financial results could suffer;</w:t>
      </w:r>
    </w:p>
    <w:p>
      <w:pPr>
        <w:spacing w:after="0" w:line="58" w:lineRule="exact"/>
        <w:rPr>
          <w:rFonts w:ascii="Times New Roman" w:cs="Times New Roman" w:eastAsia="Times New Roman" w:hAnsi="Times New Roman"/>
          <w:sz w:val="17"/>
          <w:szCs w:val="17"/>
          <w:color w:val="auto"/>
        </w:rPr>
      </w:pPr>
    </w:p>
    <w:p>
      <w:pPr>
        <w:ind w:left="660" w:right="440" w:hanging="328"/>
        <w:spacing w:after="0" w:line="28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Claims by other companies that we infringe their intellectual property rights or that patents on which we rely are invalid could adversely affect our business;</w:t>
      </w:r>
    </w:p>
    <w:p>
      <w:pPr>
        <w:spacing w:after="0" w:line="50" w:lineRule="exact"/>
        <w:rPr>
          <w:rFonts w:ascii="Arial" w:cs="Arial" w:eastAsia="Arial" w:hAnsi="Arial"/>
          <w:sz w:val="17"/>
          <w:szCs w:val="17"/>
          <w:color w:val="auto"/>
        </w:rPr>
      </w:pPr>
    </w:p>
    <w:p>
      <w:pPr>
        <w:ind w:left="660" w:hanging="328"/>
        <w:spacing w:after="0" w:line="28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continually pursue new IP interconnect, SoC integration automation, and other technology initiatives, and if we fail to successfully carry out these initiatives, our business could be harmed;</w:t>
      </w:r>
    </w:p>
    <w:p>
      <w:pPr>
        <w:spacing w:after="0" w:line="63" w:lineRule="exact"/>
        <w:rPr>
          <w:rFonts w:ascii="Arial" w:cs="Arial" w:eastAsia="Arial" w:hAnsi="Arial"/>
          <w:sz w:val="17"/>
          <w:szCs w:val="17"/>
          <w:color w:val="auto"/>
        </w:rPr>
      </w:pPr>
    </w:p>
    <w:p>
      <w:pPr>
        <w:ind w:left="660" w:right="20" w:hanging="328"/>
        <w:spacing w:after="0" w:line="28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have to invest more resources in research and development than anticipated, which could increase our operating expenses and negatively affect our operating results;</w:t>
      </w:r>
    </w:p>
    <w:p>
      <w:pPr>
        <w:spacing w:after="0" w:line="50" w:lineRule="exact"/>
        <w:rPr>
          <w:rFonts w:ascii="Arial" w:cs="Arial" w:eastAsia="Arial" w:hAnsi="Arial"/>
          <w:sz w:val="17"/>
          <w:szCs w:val="17"/>
          <w:color w:val="auto"/>
        </w:rPr>
      </w:pPr>
    </w:p>
    <w:p>
      <w:pPr>
        <w:ind w:left="660" w:right="20" w:hanging="328"/>
        <w:spacing w:after="0" w:line="28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subject to government regulation, including import, export and economic sanctions laws and artificial intelligence regulations that may expose us to liability and increase our costs;</w:t>
      </w:r>
    </w:p>
    <w:p>
      <w:pPr>
        <w:spacing w:after="0" w:line="50"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errors or defects could expose us to liability and harm our reputation and we could lose market share;</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offer high-quality support, our reputation could suffer;</w:t>
      </w:r>
    </w:p>
    <w:p>
      <w:pPr>
        <w:spacing w:after="0" w:line="128" w:lineRule="exact"/>
        <w:rPr>
          <w:rFonts w:ascii="Arial" w:cs="Arial" w:eastAsia="Arial" w:hAnsi="Arial"/>
          <w:sz w:val="17"/>
          <w:szCs w:val="17"/>
          <w:color w:val="auto"/>
        </w:rPr>
      </w:pPr>
    </w:p>
    <w:p>
      <w:pPr>
        <w:ind w:left="660" w:right="20" w:hanging="328"/>
        <w:spacing w:after="0" w:line="28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dependence on international customers and operations also subjects us to a range of other additional regulatory, operational, financial and political risks that could adversely affect our financial results;</w:t>
      </w:r>
    </w:p>
    <w:p>
      <w:pPr>
        <w:spacing w:after="0" w:line="50" w:lineRule="exact"/>
        <w:rPr>
          <w:rFonts w:ascii="Arial" w:cs="Arial" w:eastAsia="Arial" w:hAnsi="Arial"/>
          <w:sz w:val="17"/>
          <w:szCs w:val="17"/>
          <w:color w:val="auto"/>
        </w:rPr>
      </w:pPr>
    </w:p>
    <w:p>
      <w:pPr>
        <w:ind w:left="660" w:hanging="328"/>
        <w:spacing w:after="0" w:line="28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are unable to protect our proprietary technology and inventions through patents and other IP rights, our ability to compete successfully and our financial results could be adversely impacted;</w:t>
      </w:r>
    </w:p>
    <w:p>
      <w:pPr>
        <w:spacing w:after="0" w:line="50"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face risks associated with doing business in China; and</w:t>
      </w:r>
    </w:p>
    <w:p>
      <w:pPr>
        <w:spacing w:after="0" w:line="128" w:lineRule="exact"/>
        <w:rPr>
          <w:rFonts w:ascii="Arial" w:cs="Arial" w:eastAsia="Arial" w:hAnsi="Arial"/>
          <w:sz w:val="17"/>
          <w:szCs w:val="17"/>
          <w:color w:val="auto"/>
        </w:rPr>
      </w:pPr>
    </w:p>
    <w:p>
      <w:pPr>
        <w:ind w:left="660" w:right="280" w:hanging="328"/>
        <w:spacing w:after="0" w:line="28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Litigation, including securities class action litigation, may impair our reputation and lead us to incur significant costs. For example, we are currently involved in ongoing litigation related to patent infringement claims.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a leading provider of semiconductor system IP, including interconnect and other intellectual property, (collectively, System IP) technology. Our System IP technology manages the on-chip communications and IP block deployments in System-on-Chip (SoC) semiconductors and systems of chiplets. Our leading proprietary System IP solutions achieve this by connecting client IP blocks such as processors, memories, artificial intelligence/machine learning (AI/ML) accelerators, graphics subsystems, safety and security, and other input/output subsystems (I/Os) via multiple Network-on-Chips (NoCs) in order for our customers to experience faster SoC targeting, as well as, more efficient, and lower cost solutions. Growth for our solutions is being driven by growing SoC sophistication and associated complexity, now extending into disaggregation of SoCs into systems that implement the communication protocol aspects and partner with industry-leading providers like Synopsys, Cadence, Alphawave and others to connect to their die-to-die interfaces. The addition of more processors, channels of memory access, machine learning sections, additional I/Os interface standards, and other subsystems within SoCs is driving the need for more advanced System IP, including NoC interconnect IPs. The growth in the number of these connected on-chip subsystems places an increasing premium on the interconnect IP capability to move data inside complex SoCs. We believe this increase in SoC complexity has created a significant opportunity for sophisticated System IP solutions that incorporate NoC interconnect IP, SoC Integration Automation software (SIA) (formerly IP deployment software) and NoC interface IP (consisting of peripheral data transport IP and control plane networks connected to NoC interconnect IPs). Moreover, our technology can also provide more cost-effective solutions and reduce the risks of building and maintaining in-house NoC teams, which we believe has positively contributed to our market segment share growth.</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Founded in 2003, we are among the pioneers in the development of NoC IP technology for on-chip communication that addresses the growing complexity, performance, and cost requirements of SoC semiconductors and as a result, we have emerged as a global leader. Over time, we have expanded and scaled our interconnect IP and other IP businesses to provide hardware, software, documentation, support, and training under a license fee and a royalty business model, to companies that design and produce semiconductors. In addition, we are also finding an increasing number of customers further down the supply chain, such as system-level companies and automotive original equipment manufacturers (OEMs). Our SoC integration automation capabilities were significantly enhanced by our acquisitions of Magillem in 2020 and Semifore in 2022, complementing our interconnect IP solutions by helping to automate the customer configuration of its NoC IPs, the process of integrating and assembling all of the customer’s IP blocks into SoC hardware, and ensuring correct hardware-software integration for software development. Products incorporating our IP are used to carry important data inside today’s complex SoCs across a broad range of applications, including automotive, enterprise computing, communications, consumer electronics, and industrial markets. Our interconnect IP solutions can be found in multiple industry-standard designs supporting instruction set architectures such as x86, Arm, RISC-V, CEVA, Synopsys ARC, Cadence Tensilica and MIPS, as well as memory controllers, UCIe, BoW, and XSR controllers, I/O and a variety of IP subsystems, to enable customers to integrate such IP blocks with high levels of efficiency and performance. Our solutions enable customer innovation because they are configurable for each customer’s design flow and SoC development projects and have wide applicability for many types of SoCs. We estimate that our solutions have been incorporated into over three and a half billion production SoCs since inception.</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Traditional on-chip communication methods, including bus and crossbar interconnect IPs, are generally inadequate in handling modern semiconductor communications, and even more so for sophisticated applications or more complex designs. Technological advancements have led to increasingly complex SoCs that integrate numerous functions into a single semiconductor device. Massive amounts of wires, challenging timing closure, and routing congestion lead to greater die area and chip cost. Increased transistor density and design frequencies create higher power consumption leading to heat dissipation challenges and shorter battery life for electronic devices. These challenges have significantly complicated SoC innovation and contributed to the increasing adoption of System IP, across the growing number of customer design starts coupled with the expanding number of NoC IPs used in current SoC.</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leveraged our extensive technical expertise to develop configurable IP for a new method for on-chip communication, the NoC, that has emerged over the past couple of decades to address these critical semiconductor development challenges. We accomplished this by pioneering the use of proprietary networking techniques for on-chip communications to remove the inherent architectural limitations of traditional on-chip communications, thereby improving ease of integration, performance, silicon area, and power consumption. In doing so, we enable our customers to achieve their design goals faster, more efficiently, and at lower costs. In addition, our SIA solutions enable easier IP integration of our interconnect IPs – among other IP blocks that make up an SoC, across both hardware and software.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work directly with our customers throughout the SoC development process and seek to develop long-term, sustainable relationships with them as our technology becomes embedded in their products. Increasingly, we are also seeing system companies and even their customers becoming directly involved in SoC and NoC specifications and design, further expanding our ability to partner in this growing market. We also leverage our long history in interconnect IP designs and are able to serve a broad range of applications and deliver application and customer-specific features to our customers. For example, we are a leader in the market of interconnect for advanced driver assistance systems (ADAS) SoCs, which we believe is a result of our quality, reliability, and innovative technology targeted at that business application, and longstanding collaboration with automotive semiconductor companies, Tier 1 suppliers, and car manufacturing OEMs.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provide solutions for the global SoC market and believe that market growth will be driven by an increasing number of SoC designs and growing complexity, increasing average selling prices of interconnect IP and SIA, and the growing proliferation of the NoC interface IP market segment. More specifically, we believe our growth will be driven by technology trends requiring more sophisticated on-chip processing in the automotive, communications, enterprise computing, consumer electronics, and industrial markets. Also, the need for sophisticated system IP products is growing rapidly in order to address the requirements of smaller die size, multi-die systems, lower power consumption, and higher operation frequency, as well as management of critical net latency in a timely and cost-effective manner. As a result, we believe these trends have led to an increased economic benefit of in-licensing commercial semiconductor design IP, a trend that we expect to continue.</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the years ended December 31, 2024, and 2023, we generated $57.7 million and $53.7 million in revenue, $0.7 million and $15.7 million in cash flows used in operating activities, and $33.6 million and $36.9 million in net loss, respectively. We expect to incur further net losses in the short term as we invest in our business. As of December 31, 2024, we had Annual Contract Value (ACV), which we define for an individual customer agreement as the total fixed fees under the agreement divided by the number of years in the agreement term, of $60.7 million. ACV plus royalties reached $65.1 million as of December 31, 2024. In 2024, we added 10 net new Active Customers. We define Active Customers as customers who have entered into a license agreement with us that remains in effect.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The semiconductor industry is characterized by rapid technological change and increasing levels of integration</w:t>
      </w:r>
      <w:r>
        <w:rPr>
          <w:rFonts w:ascii="Arial" w:cs="Arial" w:eastAsia="Arial" w:hAnsi="Arial"/>
          <w:sz w:val="17"/>
          <w:szCs w:val="17"/>
          <w:color w:val="auto"/>
        </w:rPr>
        <w:t>. The semiconductor industry moved</w:t>
      </w:r>
      <w:r>
        <w:rPr>
          <w:rFonts w:ascii="Arial" w:cs="Arial" w:eastAsia="Arial" w:hAnsi="Arial"/>
          <w:sz w:val="17"/>
          <w:szCs w:val="17"/>
          <w:i w:val="1"/>
          <w:iCs w:val="1"/>
          <w:color w:val="auto"/>
        </w:rPr>
        <w:t xml:space="preserve"> </w:t>
      </w:r>
      <w:r>
        <w:rPr>
          <w:rFonts w:ascii="Arial" w:cs="Arial" w:eastAsia="Arial" w:hAnsi="Arial"/>
          <w:sz w:val="17"/>
          <w:szCs w:val="17"/>
          <w:color w:val="auto"/>
        </w:rPr>
        <w:t>from integrated circuits that process data to SoCs that make decisions, and now extends to systems. SoCs grew more complex, enabling applications such as automated driving and enterprise computing data center acceleration. Integration of processors, accelerators, machine learning subsystems, sophisticated multi-channel memories, and an ever-larger number of interface standards has increased the need to move data efficiently inside the SoC and between SoC chiplets.</w:t>
      </w:r>
    </w:p>
    <w:p>
      <w:pPr>
        <w:spacing w:after="0" w:line="12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i w:val="1"/>
          <w:iCs w:val="1"/>
          <w:color w:val="auto"/>
        </w:rPr>
        <w:t xml:space="preserve">Increasing chip design complexity leads to rising costs. </w:t>
      </w:r>
      <w:r>
        <w:rPr>
          <w:rFonts w:ascii="Arial" w:cs="Arial" w:eastAsia="Arial" w:hAnsi="Arial"/>
          <w:sz w:val="17"/>
          <w:szCs w:val="17"/>
          <w:color w:val="auto"/>
        </w:rPr>
        <w:t>The move to more advanced process nodes has led to significantly more expensive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complex chip design methods and manufacturing processes.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Increasing SoC complexity leads to increasing System IP value while also placing pressure on IP block assembly and connectivity efforts. </w:t>
      </w:r>
      <w:r>
        <w:rPr>
          <w:rFonts w:ascii="Arial" w:cs="Arial" w:eastAsia="Arial" w:hAnsi="Arial"/>
          <w:sz w:val="17"/>
          <w:szCs w:val="17"/>
          <w:color w:val="auto"/>
        </w:rPr>
        <w:t>As SoCs</w:t>
      </w:r>
      <w:r>
        <w:rPr>
          <w:rFonts w:ascii="Arial" w:cs="Arial" w:eastAsia="Arial" w:hAnsi="Arial"/>
          <w:sz w:val="17"/>
          <w:szCs w:val="17"/>
          <w:i w:val="1"/>
          <w:iCs w:val="1"/>
          <w:color w:val="auto"/>
        </w:rPr>
        <w:t xml:space="preserve"> </w:t>
      </w:r>
      <w:r>
        <w:rPr>
          <w:rFonts w:ascii="Arial" w:cs="Arial" w:eastAsia="Arial" w:hAnsi="Arial"/>
          <w:sz w:val="17"/>
          <w:szCs w:val="17"/>
          <w:color w:val="auto"/>
        </w:rPr>
        <w:t>grow in size, partly due to machine learning subsystems, communication complexity increases. The increasing use of cache coherent and non-coherent traffic in a single SoC may amplify demand for our System IP solutions. Increased SoC complexity also requires SoC teams to manage potentially hundreds of IP blocks from various vendors and internal development groups. These teams and their electronic design software (EDA) groups must implement IP supply chains with increasingly capable SoC integration automation to succeed, supported by standards like IEEE 1685 IP-XACT. As these standards become increasingly sophisticated with each generation, more sophisticated software is required to support them.</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 xml:space="preserve">Rising demand from emerging end markets and new market participants is increasing the need for System IP solutions. </w:t>
      </w:r>
      <w:r>
        <w:rPr>
          <w:rFonts w:ascii="Arial" w:cs="Arial" w:eastAsia="Arial" w:hAnsi="Arial"/>
          <w:sz w:val="17"/>
          <w:szCs w:val="17"/>
          <w:color w:val="auto"/>
        </w:rPr>
        <w:t>New applications in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such as automotive, enterprise computing, communications, consumer electronics, and industrial have increased the diversity and overall demand in the semiconductor market. These new applications, which often include more AI/ML technology, safety, or complex hardware-software integrations, have led to an increase in the number and complexity of SoC designs. Chips used for artificial intelligence (AI) training and inference acceleration have increased in size, with added design complexities and performance requirements, leading to higher design costs.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There is a shift to third-party IP due to cost benefits, product differentiation, and accelerated time to market. </w:t>
      </w:r>
      <w:r>
        <w:rPr>
          <w:rFonts w:ascii="Arial" w:cs="Arial" w:eastAsia="Arial" w:hAnsi="Arial"/>
          <w:sz w:val="17"/>
          <w:szCs w:val="17"/>
          <w:color w:val="auto"/>
        </w:rPr>
        <w:t>Developing state-of-the-art SoC</w:t>
      </w:r>
      <w:r>
        <w:rPr>
          <w:rFonts w:ascii="Arial" w:cs="Arial" w:eastAsia="Arial" w:hAnsi="Arial"/>
          <w:sz w:val="17"/>
          <w:szCs w:val="17"/>
          <w:i w:val="1"/>
          <w:iCs w:val="1"/>
          <w:color w:val="auto"/>
        </w:rPr>
        <w:t xml:space="preserve"> </w:t>
      </w:r>
      <w:r>
        <w:rPr>
          <w:rFonts w:ascii="Arial" w:cs="Arial" w:eastAsia="Arial" w:hAnsi="Arial"/>
          <w:sz w:val="17"/>
          <w:szCs w:val="17"/>
          <w:color w:val="auto"/>
        </w:rPr>
        <w:t>interconnect IP solutions is difficult, time-consuming and expensive. We believe this dynamic is accelerating the degree to which interconnect IP solutions are outsourced to commercial vendors. Commercial interconnect vendors, such as Arteris, can potentially accelerate time-to-market by engaging with a greater variety of SoC applications and designs than the typical internal interconnect teams.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System IP Market</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SoC-type semiconductors consist of pre-made IP blocks that are either licensed from third parties by semiconductor and electronics companies or developed in-house. These IP blocks must be assembled into SoCs as efficiently as possible to address semiconductor company and system OEM customer requirements. Many of these IP blocks, including processors and other functional blocks, such as machine learning and vision subsystems, perform processing functions and execute complex software stacks. These IP blocks can number in the hundreds on a single chip and generate and consume commands and data, as well as work together as a unit. As SoCs become more complex, there has emerged a class of silicon IP and software tools designed to assemble these IP blocks into a functioning SoC at target cost and performance. We call this the System IP market. The System IP market consists of interconnect IP, NoC interface IP and SIA solutions. As SoC technology evolves, we believe that there is a significant opportunity for us to increase our value by introducing additional functionality for our customers to integrate their SoCs efficiently using our System IP solutions.</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Informa PLC segments the aforementioned semiconductor and OEM markets into six industry segments: automotive, computing, consumer, industrial, wireless, and wired communication. Our market penetration spans all of these segments identified by Informa PLC and customer adoption is most pronounced in the automotive, enterprise computing, consumer electronics, communications across wired and wireless, and industrial markets, driven by a higher rate of disruptive innovations.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Automotive Applications</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automotive market continues to undergo technology disruption with the advent of automated driving, electrification, electronic control unit consolidation and vehicle connectivity to the internet. However, the consumption of SoCs, other than those for rechargeable batteries that power the electric motors in EVs, is similar across all forms of vehicle propulsion. Furthermore, cars are becoming increasingly connected to a large network of data centers, roadside and city infrastructures, and other vehicles, creating the “Internet of Cars.”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Due to the complex requirements of electronically enabled vehicles and the high rate of innovation required to compete in the “Internet of Cars” revolution, industry players are designing SoCs tailored to their sophisticated software and applications. This will result in more complex automotive-targeted SoCs, which we expect will continue to grow demand for reliable, configurable, and proven interconnect technologies that accelerate a product’s time to market while reducing overall costs.</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“Internet of Cars” revolution is disrupting the automotive supply chain. New business models such as ridesharing, transportation subscriptions and transportation as a service are being created. New potential entrants such as ride-sharing companies, large data center companies, and new automotive startups are changing the automotive business landscape, while increasing demand for more sophisticated transportation-targeted semiconductors and therefore System IP solutions.</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move toward the Internet of Cars may be non-linear and take longer than anticipated but since hardware decisions are often made between six and seven years before deployment, we believe that over the next 20 to 30 years, the creation of the internet of cars represents one of the largest semiconductor opportunities available.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Enterprise Computing Applications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Large-scale cloud data centers are augmenting and replacing corporate data centers. This evolution expands the market size and value for enterprise solid-state storage systems and the custom ASICs that control them, further strengthening demand for interconnect technologies that improve storage performance and provide data integrity. In addition, enterprise hyperscale computing companies are now creating proprietary SoCs and accelerators for their own products and data centers. We believe that these new entrants into semiconductor design may provide market opportunities for third-party System IP solutions, including those from Arteris.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Some of the key areas for workload specific acceleration in data centers are AI/ML, database processing, video/audio transcoding, and scientific computing. AI/ML SoCs must be “trained” on large data sets that have to be collected from real-world data utilizing “training” SoCs. A different class of AI/ML SoCs uses such data to match the training data against actual data collected by sensors of the system utilizing “inference” SoCs.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Communications Applications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wireless communications market is in the midst of disruption as it allows efficient machine-to-machine communications at a massive scope and scale. 5G technology allows the cost-efficient connections of massive numbers of embedded sensors and other devices into ultra-reliable, high-bandwidth, and low-latency networks. In short, 5G enables smart devices utilizing sophisticated SoCs to communicate more information at faster speeds while using less power. As 5G is adopted as the wireless market standard, it is expected to revolutionize markets, including cars and smart city vehicle infrastructure, factory automation, logistics, and consumer and business broadband. Already approaching the next generation network infrastructure, the industry has started the development of a roadmap towards 6G technology to be rolled out towards the end of this decade, with various 5G Advanced steps in-between.</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believe the transition to 5G and 6G will result in more stringent requirements for bandwidth, latency, and power consumption, making an easy-to-integrate, high performance and low power on-chip interconnect a critical requirement.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Applications and Technologies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consumer electronics and industrial markets are also expected to require increasingly complex chips primarily driven by the incorporation of AI/ML processing, particularly at the edge, increased use of 5G communications, and more stringent safety and security requirements. In addition, the chip market in these domains is sensitive to time-to-market pressures, which also generates the need for increased semiconductor design productivity and faster implementation as enhanced by sophisticated interconnect IP solutions. Our low-power features are valuable for battery life and power consumption in our targeted markets.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Challenges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Interconnect IP development is a challenging, time-consuming, and expensive process. The need for robust, maintainable interconnect technology becomes increasingly important as chip designs become more complex and larger in size, both driven by advances in semiconductor manufacturing technology. Key interconnect IP development requirements and challenges include:</w:t>
      </w:r>
    </w:p>
    <w:p>
      <w:pPr>
        <w:spacing w:after="0" w:line="133" w:lineRule="exact"/>
        <w:rPr>
          <w:sz w:val="20"/>
          <w:szCs w:val="20"/>
          <w:color w:val="auto"/>
        </w:rPr>
      </w:pPr>
    </w:p>
    <w:p>
      <w:pPr>
        <w:jc w:val="both"/>
        <w:ind w:left="820" w:hanging="326"/>
        <w:spacing w:after="0" w:line="256" w:lineRule="auto"/>
        <w:tabs>
          <w:tab w:leader="none" w:pos="81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Deep technical expertise and knowledge. </w:t>
      </w:r>
      <w:r>
        <w:rPr>
          <w:rFonts w:ascii="Arial" w:cs="Arial" w:eastAsia="Arial" w:hAnsi="Arial"/>
          <w:sz w:val="17"/>
          <w:szCs w:val="17"/>
          <w:color w:val="auto"/>
        </w:rPr>
        <w:t>Interconnect development requires an interdisciplinary engineering team with expertise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skill sets across a wide-range of engineering and scientific domains including hardware architecture, design, verification, EDA-class software development, and SystemC modeling, as well as deep understanding of physical design, design methodologies and networking architectures. The design process requires expertise in developing advanced hardware architectures to handle data coherency and consistency across the interconnect to achieve a high-performance, low power implementation. The design process requires expertise in developing advanced hardware architectures, engineers that have an awareness of the physical implementation and floorplan of the target chip in order to generate an architecture that meets SoC requirements and in-depth knowledge of graph theory, common interface protocols, data models, and graphical user interfaces.</w:t>
      </w:r>
    </w:p>
    <w:p>
      <w:pPr>
        <w:spacing w:after="0" w:line="19"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 quality. </w:t>
      </w:r>
      <w:r>
        <w:rPr>
          <w:rFonts w:ascii="Arial" w:cs="Arial" w:eastAsia="Arial" w:hAnsi="Arial"/>
          <w:sz w:val="17"/>
          <w:szCs w:val="17"/>
          <w:color w:val="auto"/>
        </w:rPr>
        <w:t>Interconnect IP requires a systematic deployment of quality-oriented methodologies, as any customer-level problems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interconnect will result in SoC project delays or even project failures. Engineering teams creating interconnects must invest heavily not only in skilled engineering resources to develop and verify, but also processes and methodologies that provide early indication of any potential quality issues.</w:t>
      </w:r>
    </w:p>
    <w:p>
      <w:pPr>
        <w:spacing w:after="0" w:line="10" w:lineRule="exact"/>
        <w:rPr>
          <w:rFonts w:ascii="Arial" w:cs="Arial" w:eastAsia="Arial" w:hAnsi="Arial"/>
          <w:sz w:val="17"/>
          <w:szCs w:val="17"/>
          <w:color w:val="auto"/>
        </w:rPr>
      </w:pPr>
    </w:p>
    <w:p>
      <w:pPr>
        <w:ind w:left="820" w:right="20" w:hanging="326"/>
        <w:spacing w:after="0" w:line="281" w:lineRule="auto"/>
        <w:tabs>
          <w:tab w:leader="none" w:pos="842"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Safety standards. </w:t>
      </w:r>
      <w:r>
        <w:rPr>
          <w:rFonts w:ascii="Arial" w:cs="Arial" w:eastAsia="Arial" w:hAnsi="Arial"/>
          <w:sz w:val="17"/>
          <w:szCs w:val="17"/>
          <w:color w:val="auto"/>
        </w:rPr>
        <w:t>High reliability of the interconnect is a heightened requirement for mission-critical markets including automotive,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industrial robotics, medical and space.</w:t>
      </w:r>
    </w:p>
    <w:p>
      <w:pPr>
        <w:spacing w:after="0" w:line="1"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Long time commitment and high investment cost. </w:t>
      </w:r>
      <w:r>
        <w:rPr>
          <w:rFonts w:ascii="Arial" w:cs="Arial" w:eastAsia="Arial" w:hAnsi="Arial"/>
          <w:sz w:val="17"/>
          <w:szCs w:val="17"/>
          <w:color w:val="auto"/>
        </w:rPr>
        <w:t>We believe the engineering development cycle for each new interconnect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 development cycle to establish a significant market position for a customer or for a commercial vendor requires large teams, many years and great expense. Additionally, we believe the investment required by a customer to internally create a configurable interconnect technology for a new SoC can be very expensive compared to the cost of licensing from a proven interconnect IP provider.</w:t>
      </w:r>
    </w:p>
    <w:p>
      <w:pPr>
        <w:spacing w:after="0" w:line="10" w:lineRule="exact"/>
        <w:rPr>
          <w:rFonts w:ascii="Arial" w:cs="Arial" w:eastAsia="Arial" w:hAnsi="Arial"/>
          <w:sz w:val="17"/>
          <w:szCs w:val="17"/>
          <w:color w:val="auto"/>
        </w:rPr>
      </w:pPr>
    </w:p>
    <w:p>
      <w:pPr>
        <w:jc w:val="both"/>
        <w:ind w:left="820" w:hanging="326"/>
        <w:spacing w:after="0" w:line="261" w:lineRule="auto"/>
        <w:tabs>
          <w:tab w:leader="none" w:pos="856"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Breadth of System IP solutions. </w:t>
      </w:r>
      <w:r>
        <w:rPr>
          <w:rFonts w:ascii="Arial" w:cs="Arial" w:eastAsia="Arial" w:hAnsi="Arial"/>
          <w:sz w:val="17"/>
          <w:szCs w:val="17"/>
          <w:color w:val="auto"/>
        </w:rPr>
        <w:t>With the need to address cache coherent, non-coherent, machine learning and chiplet traffic,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need a System IP solution that works together across all these data traffic types. SoC integration automation technologies allow customers to manage the deployment of the rest of the IP blocks in the SoC in order to ease SoC IP integration. Meeting such requirements requires significant enterprise scale in engineering and customer support. Necessity for such combined technologies amounts to a significant barrier to entry in terms of time, cost and customer adoption.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Given the above requirements and challenges, developing commercial interconnect IP and software tools requires large engineering teams with advanced skill sets, significant amounts of time, and substantial financial investment. By licensing commercial interconnect IP, companies can free up resources to focus on developing new product capabilities and differentiators. Further, we believe the large investments needed to develop commercial interconnect IP also create barriers to entry for potential commercial competitors.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Competitive Strengths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a leading provider of interconnect and other IP technology that manages the on-chip communications in SoC semiconductor devices. We believe our System IP is integral to our customers in the automotive, enterprise computing, consumer electronics, communications across wired and wireless, and industrial markets. Our core strengths include:</w:t>
      </w:r>
    </w:p>
    <w:p>
      <w:pPr>
        <w:spacing w:after="0" w:line="120" w:lineRule="exact"/>
        <w:rPr>
          <w:sz w:val="20"/>
          <w:szCs w:val="20"/>
          <w:color w:val="auto"/>
        </w:rPr>
      </w:pPr>
    </w:p>
    <w:p>
      <w:pPr>
        <w:jc w:val="both"/>
        <w:ind w:left="820" w:hanging="326"/>
        <w:spacing w:after="0" w:line="255" w:lineRule="auto"/>
        <w:tabs>
          <w:tab w:leader="none" w:pos="81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help accelerate our customers’ time to market. </w:t>
      </w:r>
      <w:r>
        <w:rPr>
          <w:rFonts w:ascii="Arial" w:cs="Arial" w:eastAsia="Arial" w:hAnsi="Arial"/>
          <w:sz w:val="17"/>
          <w:szCs w:val="17"/>
          <w:color w:val="auto"/>
        </w:rPr>
        <w:t>Our interconnect IP software and SIA solutions help accelerate SoC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several different steps in the design cycle. For example, we offer design exploration and modeling capability and we have automated test bench generation to accelerate the verification of our interconnect IP products. Our System IP product lines are structured so that our customers can customize the interconnect for their needs, helping accelerate interconnect IP customization for their particular SoC configurations. In addition to interconnect IP productivity features, we offer a combination of automated interconnect configuration software, pre-verified interfaces to IP block protocols, pre-verified interfaces to EDA tools and a pre-verified interconnect IP element library for rapid generation of customer-specific interconnect IP products. Our SIA solutions also help accelerate SoC development by enabling the IP blocks making up an SoC to be packaged in a standard format called IP-XACT (Institute of Electrical and Electronics Engineers—IEEE 1685), which provides a uniform IP block assembly and reuse methodology. Our SIA tool suite includes numerous packages that allow the configuration of IP block exit port registers, establish high-level SoC connectivity and link documentation to the IP-XACT design information.</w:t>
      </w:r>
    </w:p>
    <w:p>
      <w:pPr>
        <w:spacing w:after="0" w:line="23" w:lineRule="exact"/>
        <w:rPr>
          <w:rFonts w:ascii="Arial" w:cs="Arial" w:eastAsia="Arial" w:hAnsi="Arial"/>
          <w:sz w:val="17"/>
          <w:szCs w:val="17"/>
          <w:color w:val="auto"/>
        </w:rPr>
      </w:pPr>
    </w:p>
    <w:p>
      <w:pPr>
        <w:jc w:val="both"/>
        <w:ind w:left="820" w:hanging="326"/>
        <w:spacing w:after="0" w:line="259" w:lineRule="auto"/>
        <w:tabs>
          <w:tab w:leader="none" w:pos="829"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products help improve the performance of our customers’ SoCs. </w:t>
      </w:r>
      <w:r>
        <w:rPr>
          <w:rFonts w:ascii="Arial" w:cs="Arial" w:eastAsia="Arial" w:hAnsi="Arial"/>
          <w:sz w:val="17"/>
          <w:szCs w:val="17"/>
          <w:color w:val="auto"/>
        </w:rPr>
        <w:t>We believe that using our System IP solutions can result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improved SoC metrics such as higher performance, lower power consumption and smaller die area. We have extensive low-power management features such as three levels of clock gating and power domain features for low-power applications such as smartphone application processors and other SoCs for hand-held applications. We enable customers to partition their designs into “frequency domains”, allowing some domains to run at higher frequencies than others, in order to trade off performance against SoC power consumption.</w:t>
      </w:r>
    </w:p>
    <w:p>
      <w:pPr>
        <w:spacing w:after="0" w:line="30" w:lineRule="exact"/>
        <w:rPr>
          <w:rFonts w:ascii="Arial" w:cs="Arial" w:eastAsia="Arial" w:hAnsi="Arial"/>
          <w:sz w:val="17"/>
          <w:szCs w:val="17"/>
          <w:color w:val="auto"/>
        </w:rPr>
      </w:pPr>
    </w:p>
    <w:p>
      <w:pPr>
        <w:jc w:val="both"/>
        <w:ind w:left="820" w:hanging="326"/>
        <w:spacing w:after="0" w:line="255" w:lineRule="auto"/>
        <w:tabs>
          <w:tab w:leader="none" w:pos="829"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enable lower customer research and development and SoC unit costs. </w:t>
      </w:r>
      <w:r>
        <w:rPr>
          <w:rFonts w:ascii="Arial" w:cs="Arial" w:eastAsia="Arial" w:hAnsi="Arial"/>
          <w:sz w:val="17"/>
          <w:szCs w:val="17"/>
          <w:color w:val="auto"/>
        </w:rPr>
        <w:t>We believe that we enable lower chip research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costs, lower SoC unit costs and reduce project risk as compared to solutions developed internally or licensed from another vendor. We have targeted our interconnect IP to be area-efficient so that we can offer silicon area savings, and resulting chip cost savings, compared to other interconnect IP alternatives. We provide an integrated package of software, hardware, documentation, verification tools and pre-verified interfaces to major IP blocks and EDA tools. We believe our IP and software can save our customers time and money and enable them to focus on product differentiation and revenue generation.</w:t>
      </w:r>
    </w:p>
    <w:p>
      <w:pPr>
        <w:spacing w:after="0" w:line="36" w:lineRule="exact"/>
        <w:rPr>
          <w:rFonts w:ascii="Arial" w:cs="Arial" w:eastAsia="Arial" w:hAnsi="Arial"/>
          <w:sz w:val="17"/>
          <w:szCs w:val="17"/>
          <w:color w:val="auto"/>
        </w:rPr>
      </w:pPr>
    </w:p>
    <w:p>
      <w:pPr>
        <w:jc w:val="both"/>
        <w:ind w:left="820" w:hanging="326"/>
        <w:spacing w:after="0" w:line="256" w:lineRule="auto"/>
        <w:tabs>
          <w:tab w:leader="none" w:pos="81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believe we have grown our product portfolio through robust and focused research and development. </w:t>
      </w:r>
      <w:r>
        <w:rPr>
          <w:rFonts w:ascii="Arial" w:cs="Arial" w:eastAsia="Arial" w:hAnsi="Arial"/>
          <w:sz w:val="17"/>
          <w:szCs w:val="17"/>
          <w:color w:val="auto"/>
        </w:rPr>
        <w:t>Developing commercial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interconnect IP and software tooling requires large and specialized engineering teams, significant amounts of time and extensive periods of commercial productization. We believe we have been the pioneer of using networking technology for on-chip communications and have been licensing such interconnect IP products since 2006. Our strategy is to deliver continuous innovation across both Interconnect IP and SIA software, with at least one major new product or major technology addition each year, and we have done so since 2013. As of December 31, 2024, we have 159 development engineers on staff covering IP hardware, software, verification, testing and methodology development. Such a sizeable, multi-disciplinary engineering team allows us to undertake System IP products of sizeable scale and permits us to work on multiple product development projects at the same time.</w:t>
      </w:r>
    </w:p>
    <w:p>
      <w:pPr>
        <w:spacing w:after="0" w:line="19"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have grown our solutions through targeted acquisitions. </w:t>
      </w:r>
      <w:r>
        <w:rPr>
          <w:rFonts w:ascii="Arial" w:cs="Arial" w:eastAsia="Arial" w:hAnsi="Arial"/>
          <w:sz w:val="17"/>
          <w:szCs w:val="17"/>
          <w:color w:val="auto"/>
        </w:rPr>
        <w:t>We believe we have the ability to complement our product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selective acquisitions to strengthen our System IP product portfolio. With our acquisition of Magillem in 2020 and Semifore in 2022, we added complementary technology that helps automate the process of integrating and assembling all of the customers’ IP blocks into an SoC, and its hardware-software integration to accelerate end product system development.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820" w:hanging="326"/>
        <w:spacing w:after="0" w:line="255" w:lineRule="auto"/>
        <w:tabs>
          <w:tab w:leader="none" w:pos="856"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are able to address mission critical applications. </w:t>
      </w:r>
      <w:r>
        <w:rPr>
          <w:rFonts w:ascii="Arial" w:cs="Arial" w:eastAsia="Arial" w:hAnsi="Arial"/>
          <w:sz w:val="17"/>
          <w:szCs w:val="17"/>
          <w:color w:val="auto"/>
        </w:rPr>
        <w:t>We believe we are positioned to take advantage of the rapid growth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semiconductor content in cars. We have been focused on the automotive market since inception and have 162 automotive SoC design wins. Additionally, we have established customer relationships with market leaders such as Mobileye/Intel, BMW, NXP, Bosch, and Dream Chip. As cars continue to grow in complexity and connectivity, we believe there will be significant growth in the number of increasingly powerful SoCs that will need automotive grade on-chip interconnect IP. Our interconnect IP is designed to meet the automotive safety integrity level D (ASIL D) of the ISO 26262 automotive functional safety standard, which is the highest level, helping to position us as an ideal partner to innovative companies in the advanced automotive SoC market. We believe our solutions make it easier for our automotive semiconductor Tier 1 and OEM customers to collaborate and meet functional safety standards by establishing traceability between requirements, specifications, hardware and software implementation, verification and testing, and quality assurance. Because of this, our SIA solutions are a complement to our interconnect IP in helping our customers meet their ISO 26262 functional safety requirements. Recently, our System IP and its resilience features have also seen increasing adoption for space exploration related applications.</w:t>
      </w:r>
    </w:p>
    <w:p>
      <w:pPr>
        <w:spacing w:after="0" w:line="23" w:lineRule="exact"/>
        <w:rPr>
          <w:rFonts w:ascii="Arial" w:cs="Arial" w:eastAsia="Arial" w:hAnsi="Arial"/>
          <w:sz w:val="17"/>
          <w:szCs w:val="17"/>
          <w:color w:val="auto"/>
        </w:rPr>
      </w:pPr>
    </w:p>
    <w:p>
      <w:pPr>
        <w:jc w:val="both"/>
        <w:ind w:left="820" w:hanging="326"/>
        <w:spacing w:after="0" w:line="255" w:lineRule="auto"/>
        <w:tabs>
          <w:tab w:leader="none" w:pos="81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have developed a “Connected by Arteris” ecosystem to provide a broad set of System IP solutions. </w:t>
      </w:r>
      <w:r>
        <w:rPr>
          <w:rFonts w:ascii="Arial" w:cs="Arial" w:eastAsia="Arial" w:hAnsi="Arial"/>
          <w:sz w:val="17"/>
          <w:szCs w:val="17"/>
          <w:color w:val="auto"/>
        </w:rPr>
        <w:t>Interconnect IP is the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transport backbone of the SoC, connecting IP blocks such as CPUs, GPUs and memory controllers. We work with suppliers who provide these blocks, including IP companies such as Arm, SiFive, MIPS, Synopsys, Cadence Design Systems, Semidynamics, Andes, Codasip and other RISC-V IP vendors to support their products and protocols working with our SIA and interconnect IP products. By offering an unbiased, standards-based interconnect infrastructure to which other IP vendors can connect, and supporting a broad range of transaction protocols, we believe we have simplified the industry’s development of heterogeneous SoCs while solidifying our role as a neutral, technology-agnostic provider across the semiconductor industry. In addition to on-chip integrations with partners, we work with EDA companies such as Synopsys, Cadence and Siemens to provide prepackaged interfaces to their EDA tools such as simulators, modeling systems, and logic and physical synthesis tools. By working closely with semiconductor IP and EDA leaders, some of whom compete with each other, we believe we have established credibility as a trusted enabler for the integration of their products within our joint customers’ chips and design flows.</w:t>
      </w:r>
    </w:p>
    <w:p>
      <w:pPr>
        <w:spacing w:after="0" w:line="23" w:lineRule="exact"/>
        <w:rPr>
          <w:rFonts w:ascii="Arial" w:cs="Arial" w:eastAsia="Arial" w:hAnsi="Arial"/>
          <w:sz w:val="17"/>
          <w:szCs w:val="17"/>
          <w:color w:val="auto"/>
        </w:rPr>
      </w:pPr>
    </w:p>
    <w:p>
      <w:pPr>
        <w:jc w:val="both"/>
        <w:ind w:left="820" w:hanging="326"/>
        <w:spacing w:after="0" w:line="254" w:lineRule="auto"/>
        <w:tabs>
          <w:tab w:leader="none" w:pos="81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believe we benefit from distinct competitive advantages. </w:t>
      </w:r>
      <w:r>
        <w:rPr>
          <w:rFonts w:ascii="Arial" w:cs="Arial" w:eastAsia="Arial" w:hAnsi="Arial"/>
          <w:sz w:val="17"/>
          <w:szCs w:val="17"/>
          <w:color w:val="auto"/>
        </w:rPr>
        <w:t>We believe our interconnect IP technology benefits from barriers to entry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due to our many years of experience and the strength of our proprietary solutions, as well as the significant technical expertise and research costs required to develop a competitive product. We were founded in 2003 when we believe we helped pioneer the industry’s NoC interconnect IP and have maintained our competitive position with our global team of 159 hardware and software engineers as of December 31, 2024. Developing interconnect IP requires an interdisciplinary engineering team with expertise and skill sets across a wide range of sciences and domains as well as a deep understanding of semiconductor physical design, design methodologies, and networking architectures. Building such teams and keeping them together over long periods of time presents a challenge for many companies. Additionally, strategic patience and focus are required to participate in the market. For example, we believe that the customer acquisition process has a typical duration of two to nine months; following this, a customer’s chip design cycle is typically between one to three years. Customers typically start shipping their products containing our interconnect IP solutions between one to five years following completion of their product design, known as mass production at which point we start to receive royalties; this lasts for up to seven years or longer depending on the particular market. We also leverage our long history of interconnect IP design to deliver customer-specific features, further deepening our relationship and integration with the customer’s product. With our System IP products embedded in our customers’ SoCs, there are significant switching costs in moving to alternative solutions. We believe that our product quality and technical strength have enabled our high customer retention rate.</w:t>
      </w:r>
    </w:p>
    <w:p>
      <w:pPr>
        <w:spacing w:after="0" w:line="28" w:lineRule="exact"/>
        <w:rPr>
          <w:rFonts w:ascii="Arial" w:cs="Arial" w:eastAsia="Arial" w:hAnsi="Arial"/>
          <w:sz w:val="17"/>
          <w:szCs w:val="17"/>
          <w:color w:val="auto"/>
        </w:rPr>
      </w:pPr>
    </w:p>
    <w:p>
      <w:pPr>
        <w:jc w:val="both"/>
        <w:ind w:left="820" w:hanging="326"/>
        <w:spacing w:after="0" w:line="257" w:lineRule="auto"/>
        <w:tabs>
          <w:tab w:leader="none" w:pos="81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offer global support for our System IP customers. </w:t>
      </w:r>
      <w:r>
        <w:rPr>
          <w:rFonts w:ascii="Arial" w:cs="Arial" w:eastAsia="Arial" w:hAnsi="Arial"/>
          <w:sz w:val="17"/>
          <w:szCs w:val="17"/>
          <w:color w:val="auto"/>
        </w:rPr>
        <w:t>Interconnect IP technology is complex, and our customer support is critical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successful deployment of our IP in our customers’ designs. We support customers utilizing our interconnect IP solutions on a global basis with architectural reviews, training, implementation support, and tape-out support. We work directly with our customers throughout their design processes to develop long-term sustainable relationships as our technology becomes embedded in their products. Many of our application engineers have advanced degrees, years of SoC design experience and passion for helping our customers drive their SoC designs to production status. We believe our application engineers are critical advisors to our customers’ design teams and offer competitive value to our customer’s SoC creation projects.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believe that as SoCs become more numerous and complex, the value of System IP technology increases since it enables the efficient movement of data within the ever-growing number of SoCs. We also believe that, as SoCs become more complex, interconnect IP technology becomes more time-consuming and riskier to develop internally within semiconductor and system companies, favoring System IP solutions provided by outside parties such as Arteris. As a dedicated interconnect IP provider, we enable our customers to leverage the knowledge and deep expertise developed by us through many years of focus on solutions for a variety of customers.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Our growth strategy includes the following:</w:t>
      </w:r>
    </w:p>
    <w:p>
      <w:pPr>
        <w:spacing w:after="0" w:line="169" w:lineRule="exact"/>
        <w:rPr>
          <w:sz w:val="20"/>
          <w:szCs w:val="20"/>
          <w:color w:val="auto"/>
        </w:rPr>
      </w:pPr>
    </w:p>
    <w:p>
      <w:pPr>
        <w:ind w:left="820" w:hanging="326"/>
        <w:spacing w:after="0" w:line="284" w:lineRule="auto"/>
        <w:tabs>
          <w:tab w:leader="none" w:pos="842"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Leverage our System IP technology leadership and focused research and development to provide solutions for the semiconductor industry that designs and builds complex SoCs.</w:t>
      </w:r>
    </w:p>
    <w:p>
      <w:pPr>
        <w:spacing w:after="0" w:line="9" w:lineRule="exact"/>
        <w:rPr>
          <w:rFonts w:ascii="Arial" w:cs="Arial" w:eastAsia="Arial" w:hAnsi="Arial"/>
          <w:sz w:val="17"/>
          <w:szCs w:val="17"/>
          <w:color w:val="auto"/>
        </w:rPr>
      </w:pPr>
    </w:p>
    <w:p>
      <w:pPr>
        <w:ind w:left="820" w:right="20" w:hanging="326"/>
        <w:spacing w:after="0" w:line="281" w:lineRule="auto"/>
        <w:tabs>
          <w:tab w:leader="none" w:pos="842" w:val="left"/>
        </w:tabs>
        <w:numPr>
          <w:ilvl w:val="0"/>
          <w:numId w:val="8"/>
        </w:numPr>
        <w:rPr>
          <w:rFonts w:ascii="Arial" w:cs="Arial" w:eastAsia="Arial" w:hAnsi="Arial"/>
          <w:sz w:val="17"/>
          <w:szCs w:val="17"/>
          <w:color w:val="auto"/>
        </w:rPr>
      </w:pPr>
      <w:r>
        <w:rPr>
          <w:rFonts w:ascii="Arial" w:cs="Arial" w:eastAsia="Arial" w:hAnsi="Arial"/>
          <w:sz w:val="17"/>
          <w:szCs w:val="17"/>
          <w:color w:val="auto"/>
        </w:rPr>
        <w:t>Address high-growth markets, including automotive, enterprise computing, consumer electronics, communications across wired and wireless, industrial and AI/ML markets.</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Expand our customer base through ongoing System IP innovation.</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Expand our customer base through increased investment in sales and marketing.</w:t>
      </w:r>
    </w:p>
    <w:p>
      <w:pPr>
        <w:spacing w:after="0" w:line="61"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Continue to pursue selective acquisitions and other strategic transactions, such as joint ventures, to acquire complementary solutions and accelerate growth.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NoC Interface IP Growth Opportunity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NoC IP carries the majority of the data in an SoC. As a result, there is an opportunity to add additional customer value by developing additional data plane and control plane capabilities that attach directly to our interconnect IPs and are implemented in SoCs by our IP software. Currently, we offer NoC interface IP products such as a memory scheduler, last-level cache, SoC data visibility and SoC debug IPs. We see an opportunity to further expand our product portfolio and market with additional control networks and subsystems that can accelerate our customers’ ability to deliver production SoCs to their end markets. Such networks may include clocking, register management and interrupt networks. Control subsystems such as power management, security, performance monitoring and debug may provide additional value to customers looking to lower the cost and risk of SoC development. With the integration of interconnect IP and NoC interface IPs, we believe we would be able to provide end-to-end solutions for quality of service, system level security and SoC resilience. NoC interface IP represents a natural expansion of our technical and business capabilities.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provide semiconductor interconnect IP and SIA solutions to serve our target end-markets, including automotive, enterprise computing, consumer electronics, communications across wired and wireless, and industrial markets. We regularly release new products to address the rapid evolution of SoC technology. We recently announced the release of an innovative new non-coherent NoC IP product that is marketed under the name FlexGen, which builds upon the silicon-proven and physically aware FlexNoC to automate the creation of high-performance network-on-chip designs. Our two core product platforms are as follows:</w:t>
      </w:r>
    </w:p>
    <w:p>
      <w:pPr>
        <w:spacing w:after="0" w:line="206"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Network-on-Chip IP Products</w:t>
      </w:r>
    </w:p>
    <w:p>
      <w:pPr>
        <w:spacing w:after="0" w:line="23" w:lineRule="exact"/>
        <w:rPr>
          <w:rFonts w:ascii="Arial" w:cs="Arial" w:eastAsia="Arial" w:hAnsi="Arial"/>
          <w:sz w:val="17"/>
          <w:szCs w:val="17"/>
          <w:color w:val="auto"/>
        </w:rPr>
      </w:pPr>
    </w:p>
    <w:p>
      <w:pPr>
        <w:ind w:left="1300" w:hanging="320"/>
        <w:spacing w:after="0"/>
        <w:tabs>
          <w:tab w:leader="none" w:pos="1300" w:val="left"/>
        </w:tabs>
        <w:numPr>
          <w:ilvl w:val="2"/>
          <w:numId w:val="9"/>
        </w:numPr>
        <w:rPr>
          <w:rFonts w:ascii="Arial" w:cs="Arial" w:eastAsia="Arial" w:hAnsi="Arial"/>
          <w:sz w:val="17"/>
          <w:szCs w:val="17"/>
          <w:color w:val="auto"/>
        </w:rPr>
      </w:pPr>
      <w:r>
        <w:rPr>
          <w:rFonts w:ascii="Arial" w:cs="Arial" w:eastAsia="Arial" w:hAnsi="Arial"/>
          <w:sz w:val="17"/>
          <w:szCs w:val="17"/>
          <w:color w:val="auto"/>
        </w:rPr>
        <w:t>Non-coherent NoC IP, with FlexGen, FlexNoC and FlexWay</w:t>
      </w:r>
    </w:p>
    <w:p>
      <w:pPr>
        <w:spacing w:after="0" w:line="13" w:lineRule="exact"/>
        <w:rPr>
          <w:rFonts w:ascii="Arial" w:cs="Arial" w:eastAsia="Arial" w:hAnsi="Arial"/>
          <w:sz w:val="17"/>
          <w:szCs w:val="17"/>
          <w:color w:val="auto"/>
        </w:rPr>
      </w:pPr>
    </w:p>
    <w:p>
      <w:pPr>
        <w:ind w:left="1300" w:hanging="320"/>
        <w:spacing w:after="0"/>
        <w:tabs>
          <w:tab w:leader="none" w:pos="1300" w:val="left"/>
        </w:tabs>
        <w:numPr>
          <w:ilvl w:val="2"/>
          <w:numId w:val="9"/>
        </w:numPr>
        <w:rPr>
          <w:rFonts w:ascii="Arial" w:cs="Arial" w:eastAsia="Arial" w:hAnsi="Arial"/>
          <w:sz w:val="17"/>
          <w:szCs w:val="17"/>
          <w:color w:val="auto"/>
        </w:rPr>
      </w:pPr>
      <w:r>
        <w:rPr>
          <w:rFonts w:ascii="Arial" w:cs="Arial" w:eastAsia="Arial" w:hAnsi="Arial"/>
          <w:sz w:val="17"/>
          <w:szCs w:val="17"/>
          <w:color w:val="auto"/>
        </w:rPr>
        <w:t>Cache-coherent NoC IP, with Ncore</w:t>
      </w:r>
    </w:p>
    <w:p>
      <w:pPr>
        <w:spacing w:after="0" w:line="14" w:lineRule="exact"/>
        <w:rPr>
          <w:rFonts w:ascii="Arial" w:cs="Arial" w:eastAsia="Arial" w:hAnsi="Arial"/>
          <w:sz w:val="17"/>
          <w:szCs w:val="17"/>
          <w:color w:val="auto"/>
        </w:rPr>
      </w:pPr>
    </w:p>
    <w:p>
      <w:pPr>
        <w:ind w:left="1300" w:hanging="320"/>
        <w:spacing w:after="0"/>
        <w:tabs>
          <w:tab w:leader="none" w:pos="1300" w:val="left"/>
        </w:tabs>
        <w:numPr>
          <w:ilvl w:val="2"/>
          <w:numId w:val="9"/>
        </w:numPr>
        <w:rPr>
          <w:rFonts w:ascii="Arial" w:cs="Arial" w:eastAsia="Arial" w:hAnsi="Arial"/>
          <w:sz w:val="17"/>
          <w:szCs w:val="17"/>
          <w:color w:val="auto"/>
        </w:rPr>
      </w:pPr>
      <w:r>
        <w:rPr>
          <w:rFonts w:ascii="Arial" w:cs="Arial" w:eastAsia="Arial" w:hAnsi="Arial"/>
          <w:sz w:val="17"/>
          <w:szCs w:val="17"/>
          <w:color w:val="auto"/>
        </w:rPr>
        <w:t>NoC interface IP, with CodaCache</w:t>
      </w:r>
    </w:p>
    <w:p>
      <w:pPr>
        <w:spacing w:after="0" w:line="234" w:lineRule="exact"/>
        <w:rPr>
          <w:rFonts w:ascii="Arial" w:cs="Arial" w:eastAsia="Arial" w:hAnsi="Arial"/>
          <w:sz w:val="17"/>
          <w:szCs w:val="17"/>
          <w:color w:val="auto"/>
        </w:rPr>
      </w:pPr>
    </w:p>
    <w:p>
      <w:pPr>
        <w:ind w:left="640" w:hanging="308"/>
        <w:spacing w:after="0"/>
        <w:tabs>
          <w:tab w:leader="none" w:pos="64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SoC Integration Automation Software Solutions Products</w:t>
      </w:r>
    </w:p>
    <w:p>
      <w:pPr>
        <w:spacing w:after="0" w:line="23" w:lineRule="exact"/>
        <w:rPr>
          <w:rFonts w:ascii="Arial" w:cs="Arial" w:eastAsia="Arial" w:hAnsi="Arial"/>
          <w:sz w:val="17"/>
          <w:szCs w:val="17"/>
          <w:b w:val="1"/>
          <w:bCs w:val="1"/>
          <w:color w:val="auto"/>
        </w:rPr>
      </w:pPr>
    </w:p>
    <w:p>
      <w:pPr>
        <w:ind w:left="1300" w:hanging="405"/>
        <w:spacing w:after="0"/>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IP and SoC software, with Magillem (Connectivity and Registers) and CSRCompiler</w:t>
      </w:r>
    </w:p>
    <w:p>
      <w:pPr>
        <w:spacing w:after="0" w:line="14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addition to historical annual introductions of new System IP solutions, we regularly develop and deliver updates that provide product enhancements to our customers. We believe the combination of our solutions and the strategic neutrality that we offer to the semiconductor industry positions us well as a reliable, trusted and innovative System IP solution for our customers.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Network-on-Chip IP Products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We believe we offer the semiconductor industry an industry-leading commercially available interconnect IP portfolio.</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commercially available interconnect IP products are shipping in billions of devices worldwide. Innovative use of proprietary networking techniques for on-chip communications has enabled our industry-proven solutions to deliver higher SoC performance with shorter design schedules, lower research and development costs, lower SoC unit costs, and reduced project risk when compared to customer-developed internal solutions. Select offerings of our semiconductor IP product portfolio include:</w:t>
      </w:r>
    </w:p>
    <w:p>
      <w:pPr>
        <w:spacing w:after="0" w:line="11" w:lineRule="exact"/>
        <w:rPr>
          <w:sz w:val="20"/>
          <w:szCs w:val="20"/>
          <w:color w:val="auto"/>
        </w:rPr>
      </w:pPr>
    </w:p>
    <w:p>
      <w:pPr>
        <w:jc w:val="both"/>
        <w:ind w:left="820" w:hanging="326"/>
        <w:spacing w:after="0" w:line="254" w:lineRule="auto"/>
        <w:tabs>
          <w:tab w:leader="none" w:pos="81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FlexGen, FlexNoC and FlexWay: </w:t>
      </w:r>
      <w:r>
        <w:rPr>
          <w:rFonts w:ascii="Arial" w:cs="Arial" w:eastAsia="Arial" w:hAnsi="Arial"/>
          <w:sz w:val="17"/>
          <w:szCs w:val="17"/>
          <w:color w:val="auto"/>
        </w:rPr>
        <w:t>Silicon-proven, interconnect IP products that have been integrated into hundreds of chip designs.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underlying NoC technology converts on-chip communication signals between IP blocks, such as reads from and writes to memory, into digital packets. Packetizing on-chip communications allows the interconnect to be configured for enhanced performance and simplifies the connections of on-chip IP blocks, similar to how the internet eases the simultaneous connectivity of large numbers of computing devices. FlexWay is targeted at simpler SoC while FlexNoC targets the mainstream application. We also provide optional add-on packages for FlexNoC and FlexWay, such as the resilience package, which provide on-chip data protection that enables customers to meet the ISO 26262 and IEC functional safety standards for markets like automotive, and a large design performance package that addresses highly scalable peer-to-peer on-chip communications required by large SoCs such as those which include machine learning neural networks. FlexNoC and FlexWay started shipping in 2011 and we estimate that our solutions have been incorporated into over three and a half billion production SoCs since inception. Our most recently announced product FlexGen builds upon the silicon-proven and physically aware FlexNoC IP to automate the creation of high-performance NoC designs. Supported by AI-driven automation, FlexGen reduces manual iteration providing expert-level NoC topologies. We believe these advancements are critical to meet the increasing computing demands of advanced technologies like AI, autonomous driving and cloud computing.</w:t>
      </w:r>
    </w:p>
    <w:p>
      <w:pPr>
        <w:spacing w:after="0" w:line="37" w:lineRule="exact"/>
        <w:rPr>
          <w:rFonts w:ascii="Arial" w:cs="Arial" w:eastAsia="Arial" w:hAnsi="Arial"/>
          <w:sz w:val="17"/>
          <w:szCs w:val="17"/>
          <w:color w:val="auto"/>
        </w:rPr>
      </w:pPr>
    </w:p>
    <w:p>
      <w:pPr>
        <w:jc w:val="both"/>
        <w:ind w:left="820" w:hanging="326"/>
        <w:spacing w:after="0" w:line="254" w:lineRule="auto"/>
        <w:tabs>
          <w:tab w:leader="none" w:pos="829"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Ncore: </w:t>
      </w:r>
      <w:r>
        <w:rPr>
          <w:rFonts w:ascii="Arial" w:cs="Arial" w:eastAsia="Arial" w:hAnsi="Arial"/>
          <w:sz w:val="17"/>
          <w:szCs w:val="17"/>
          <w:color w:val="auto"/>
        </w:rPr>
        <w:t>Silicon-proven, cache coherent interconnect IP product that provides scalable, configurable, and area-efficient features for use</w:t>
      </w:r>
      <w:r>
        <w:rPr>
          <w:rFonts w:ascii="Arial" w:cs="Arial" w:eastAsia="Arial" w:hAnsi="Arial"/>
          <w:sz w:val="17"/>
          <w:szCs w:val="17"/>
          <w:i w:val="1"/>
          <w:iCs w:val="1"/>
          <w:color w:val="auto"/>
        </w:rPr>
        <w:t xml:space="preserve"> </w:t>
      </w:r>
      <w:r>
        <w:rPr>
          <w:rFonts w:ascii="Arial" w:cs="Arial" w:eastAsia="Arial" w:hAnsi="Arial"/>
          <w:sz w:val="17"/>
          <w:szCs w:val="17"/>
          <w:color w:val="auto"/>
        </w:rPr>
        <w:t>across multiple end markets. In an SoC, cache coherency is a special data traffic class that requires a corresponding coherent interconnect IP to manage it. In a multiprocessor system using shared memory, each processor has a local cache memory for efficiency, however, it is possible to end up with many copies of shared data in the system. One copy of the data may be in the main memory, whilst other copies may exist in one or more of the processor cache memories. When one of the copies of data is changed, the rest must also reflect that change. Ncore assists the timely propagation of data changes across the SoC in order to maintain cache coherency. Ncore is also more scalable and area-efficient than mesh-based interconnects and is optimized for heterogeneous cache coherent systems and offers multiple configurable snoop filters, multiple configurable proxy caches, and a modular, distributed architecture to provide system architects with the most advanced technology and more degrees of freedom to innovate. Since the initial shipment in 2016, we have launched multiple releases of Ncore which have been designed into various production SoCs for automotive, consumer electronics, industrial, and communications applications. In 2022 we also entered into an Arm automotive agreement, with Arm as the processor IP provider and Arteris as interconnect IP provider for automotive microcontrollers (MCU) and SoCs to service growing customer needs. In 2023 Ncore achieved ISO 26262 certification up to ASIL-D, the most stringent level of functional automotive safety.</w:t>
      </w:r>
    </w:p>
    <w:p>
      <w:pPr>
        <w:spacing w:after="0" w:line="24" w:lineRule="exact"/>
        <w:rPr>
          <w:rFonts w:ascii="Arial" w:cs="Arial" w:eastAsia="Arial" w:hAnsi="Arial"/>
          <w:sz w:val="17"/>
          <w:szCs w:val="17"/>
          <w:color w:val="auto"/>
        </w:rPr>
      </w:pPr>
    </w:p>
    <w:p>
      <w:pPr>
        <w:jc w:val="both"/>
        <w:ind w:left="820" w:hanging="326"/>
        <w:spacing w:after="0" w:line="261" w:lineRule="auto"/>
        <w:tabs>
          <w:tab w:leader="none" w:pos="81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CodaCache: </w:t>
      </w:r>
      <w:r>
        <w:rPr>
          <w:rFonts w:ascii="Arial" w:cs="Arial" w:eastAsia="Arial" w:hAnsi="Arial"/>
          <w:sz w:val="17"/>
          <w:szCs w:val="17"/>
          <w:color w:val="auto"/>
        </w:rPr>
        <w:t>CodaCache is a silicon-proven, last-level cache (or local memory) semiconductor IP product, used anywhere in the network-on-chip, for minimization of SoC data latency or improvement of performance. Frequent DRAM accesses waste clock cycles and causes performance to drop. CodaCache keeps data closer to the access point and lowers costs in certain SoC architectures. Design teams and architects can easily configure CodaCache based on area, timing, and other requirements. CodaCache provides the most flexibility of any commercial on-chip last-level cache IP, from setting associativity up to 16 ways, to configuring cache sizes and multiple target ports.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SoC Integration Automation Software Solutions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provide a suite of SIA solutions that enables the packaging, reuse and integration of most types of IP blocks using the IP-XACT (IEEE 1685) standard. This SIA suite of products from Magillem and Semifore acquisitions provides a design environment to any semiconductor and system company from the architecture of the SoC through the delivery of a fully documented and traceable chip design. This software suite manages the assembly of multiple IP blocks into SoC devices, registers configurations of IP blocks, and links design parameters and metadata to documentation. Our SIA solutions are designed to shorten our customers’ design schedules and improve SoC engineers’ productivity across architects, logic designers, software/firmware developers, verification teams, and documentation teams. Arteris products provide a broad suite of software front-end design capabilities that can accelerate SoC development by providing highly configurable and scalable solutions. Our solutions address packaging, connectivity, register configuration, embedded software, and design software flows and we believe we provide best-in-class front-end design environments based on worldwide IEEE 1685 IP-XACT extensible markup language (XML) standard and SystemRDL language through our ready-made design solutions.</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the combination of SIA solutions and SoC interconnect hardware provides our customers with more comprehensive SoC integration capabilities. Our SIA technology suite across Magillem and CSRCompiler products cover the following key capabilities for SoC integration automation and overall SoC development acceleration:</w:t>
      </w:r>
    </w:p>
    <w:p>
      <w:pPr>
        <w:spacing w:after="0" w:line="133" w:lineRule="exact"/>
        <w:rPr>
          <w:sz w:val="20"/>
          <w:szCs w:val="20"/>
          <w:color w:val="auto"/>
        </w:rPr>
      </w:pPr>
    </w:p>
    <w:p>
      <w:pPr>
        <w:jc w:val="both"/>
        <w:ind w:left="820" w:hanging="326"/>
        <w:spacing w:after="0" w:line="257" w:lineRule="auto"/>
        <w:tabs>
          <w:tab w:leader="none" w:pos="856"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Magillem Connectivity: </w:t>
      </w:r>
      <w:r>
        <w:rPr>
          <w:rFonts w:ascii="Arial" w:cs="Arial" w:eastAsia="Arial" w:hAnsi="Arial"/>
          <w:sz w:val="17"/>
          <w:szCs w:val="17"/>
          <w:color w:val="auto"/>
        </w:rPr>
        <w:t>The Magillem connectivity product shortens and streamlines the system-on-chip (SoC) integration process.</w:t>
      </w:r>
      <w:r>
        <w:rPr>
          <w:rFonts w:ascii="Arial" w:cs="Arial" w:eastAsia="Arial" w:hAnsi="Arial"/>
          <w:sz w:val="17"/>
          <w:szCs w:val="17"/>
          <w:i w:val="1"/>
          <w:iCs w:val="1"/>
          <w:color w:val="auto"/>
        </w:rPr>
        <w:t xml:space="preserve"> </w:t>
      </w:r>
      <w:r>
        <w:rPr>
          <w:rFonts w:ascii="Arial" w:cs="Arial" w:eastAsia="Arial" w:hAnsi="Arial"/>
          <w:sz w:val="17"/>
          <w:szCs w:val="17"/>
          <w:color w:val="auto"/>
        </w:rPr>
        <w:t>Magillem Connectivity allows users to build very complex, correct-by-construction SoC designs. IPs are packaged by the tool using the widely supported IP-XACT standard and can be configured and instantiated to create an SoC design in a single environment whilst ensuring design-data consistency. Magillem Connectivity uses built-in checkers to help automate time-consuming tasks, resulting in efficient and safe design updates or even restructuring of large sections of the design.</w:t>
      </w:r>
    </w:p>
    <w:p>
      <w:pPr>
        <w:spacing w:after="0" w:line="33" w:lineRule="exact"/>
        <w:rPr>
          <w:rFonts w:ascii="Arial" w:cs="Arial" w:eastAsia="Arial" w:hAnsi="Arial"/>
          <w:sz w:val="17"/>
          <w:szCs w:val="17"/>
          <w:color w:val="auto"/>
        </w:rPr>
      </w:pPr>
    </w:p>
    <w:p>
      <w:pPr>
        <w:jc w:val="both"/>
        <w:ind w:left="820" w:hanging="326"/>
        <w:spacing w:after="0" w:line="257" w:lineRule="auto"/>
        <w:tabs>
          <w:tab w:leader="none" w:pos="869"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Magillem Registers and CSRCompiler: </w:t>
      </w:r>
      <w:r>
        <w:rPr>
          <w:rFonts w:ascii="Arial" w:cs="Arial" w:eastAsia="Arial" w:hAnsi="Arial"/>
          <w:sz w:val="17"/>
          <w:szCs w:val="17"/>
          <w:color w:val="auto"/>
        </w:rPr>
        <w:t>The combination of Magillem and CSRCompiler products addresses hardware-software</w:t>
      </w:r>
      <w:r>
        <w:rPr>
          <w:rFonts w:ascii="Arial" w:cs="Arial" w:eastAsia="Arial" w:hAnsi="Arial"/>
          <w:sz w:val="17"/>
          <w:szCs w:val="17"/>
          <w:i w:val="1"/>
          <w:iCs w:val="1"/>
          <w:color w:val="auto"/>
        </w:rPr>
        <w:t xml:space="preserve"> </w:t>
      </w:r>
      <w:r>
        <w:rPr>
          <w:rFonts w:ascii="Arial" w:cs="Arial" w:eastAsia="Arial" w:hAnsi="Arial"/>
          <w:sz w:val="17"/>
          <w:szCs w:val="17"/>
          <w:color w:val="auto"/>
        </w:rPr>
        <w:t>integration challenges for SoCs, where complex software algorithms control a growing array of specialized processors and hardware accelerators to deliver a robust semiconductor. The hardware/software interface (HSI) provides the technology for software to control this SoC hardware and it forms the foundation of the entire SoC design project. The Magillem Register product and CSRCompiler products automate the creation of this SoC foundation.</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mentioned above, critical tools in our SIA product portfolio have been “Tool Confidence Level” (TCL)-certified by the TUV Sud to confirm that they are safe to use in automotive and mission-critical markets like aerospace &amp; space as part of the industrial vertical.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license our products to a global and diverse customer base, including semiconductor manufacturers, OEMs, hyperscale system houses, semiconductor design houses and other producers of electronic systems. We work directly with our customers throughout their design processes and seek to develop long-term, sustainable relationships with them as our technology becomes embedded in their products. As a result, we believe we are well positioned to continue to attract and retain customers, and to continue developing next-generation System IP solutions for their future products. We added 10 net new Active Customers during the year ended December 31, 2024.</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In 2024, we had one customer that represented more than 10% of our revenue.</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During the fiscal year 2024, our revenue by geographic area based on customer location was as follows:</w:t>
      </w:r>
    </w:p>
    <w:p>
      <w:pPr>
        <w:spacing w:after="0" w:line="169"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39.4% of our revenue was derived from customers based in the Americas;</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12.5% of our revenue was derived from customers based in Europe and the Middle East; and</w:t>
      </w:r>
    </w:p>
    <w:p>
      <w:pPr>
        <w:spacing w:after="0" w:line="74" w:lineRule="exact"/>
        <w:rPr>
          <w:rFonts w:ascii="Arial" w:cs="Arial" w:eastAsia="Arial" w:hAnsi="Arial"/>
          <w:sz w:val="17"/>
          <w:szCs w:val="17"/>
          <w:color w:val="auto"/>
        </w:rPr>
      </w:pPr>
    </w:p>
    <w:p>
      <w:pPr>
        <w:ind w:left="820" w:hanging="326"/>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48.1% of our revenue was derived from customers based in the Asia Pacific region.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work closely with our customers throughout the SoC design lifecycle to help them use our System IP solutions to meet their specific needs. It is important to our success that we engage our customers early and collaborate throughout the design cycle. Our support organization is able to communicate the best practices in SoC design practices and receive early insight into customer requirements. This insight often results in new and innovative product features.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System IP sales cycles range from six to twelve months or longer. For repeat customers, our sales cycle length is generally shorter.</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December 31, 2024, we maintained sales offices, sales personnel, or sales representatives in the United States, China, France, South Korea, Japan, and Israel. As of December 31, 2024, our sales management had an average of 26 years of sales experience. As of December 31, 2024, we had 43 corporate and field application engineers. Corporate and field application engineers work closely with our customers in both presales and support roles, providing expert advice to our SoC architect and engineering users on how best to use our IP and software to design and implement their SoCs. As a result of these close relationships and detailed information sharing, our application engineers gather early knowledge of future expected customer needs including potential new sales opportunities within the customer and requirements for new capabilities for our products. Therefore, we believe our close relationships and technical credibility with our customers provide a competitive advantage.</w:t>
      </w:r>
    </w:p>
    <w:p>
      <w:pPr>
        <w:spacing w:after="0" w:line="12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marketing strategy emphasizes thought leadership and educates potential customers about how our products can address their System IP challenges. We use technical papers, and in-person and online events, to highlight our capabilities.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devote most of our operating expense to research and development of interconnect IP and SIA solutions. The development of interconnect IPs for complex SoCs is a challenging task that requires multiple competencies and close contact with customers in order to deliver sophisticated solutions. The development and maintenance of these solutions require:</w:t>
      </w:r>
    </w:p>
    <w:p>
      <w:pPr>
        <w:spacing w:after="0" w:line="120" w:lineRule="exact"/>
        <w:rPr>
          <w:sz w:val="20"/>
          <w:szCs w:val="20"/>
          <w:color w:val="auto"/>
        </w:rPr>
      </w:pPr>
    </w:p>
    <w:p>
      <w:pPr>
        <w:jc w:val="both"/>
        <w:ind w:left="820" w:hanging="326"/>
        <w:spacing w:after="0" w:line="274" w:lineRule="auto"/>
        <w:tabs>
          <w:tab w:leader="none" w:pos="8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Management of an interdisciplinary engineering team with expertise and skill set across a wide range of sciences and domains such as architecture, design, design verification, EDA-class software development, and SystemC modeling, as well as deep understanding of physical design, design methodologies and networking architectures;</w:t>
      </w:r>
    </w:p>
    <w:p>
      <w:pPr>
        <w:spacing w:after="0" w:line="5" w:lineRule="exact"/>
        <w:rPr>
          <w:rFonts w:ascii="Arial" w:cs="Arial" w:eastAsia="Arial" w:hAnsi="Arial"/>
          <w:sz w:val="17"/>
          <w:szCs w:val="17"/>
          <w:color w:val="auto"/>
        </w:rPr>
      </w:pPr>
    </w:p>
    <w:p>
      <w:pPr>
        <w:ind w:left="820" w:hanging="326"/>
        <w:spacing w:after="0" w:line="281" w:lineRule="auto"/>
        <w:tabs>
          <w:tab w:leader="none" w:pos="842"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Advanced SoC architectures for handling data coherency and consistency that result in a high-performance implementation with low power;</w:t>
      </w:r>
    </w:p>
    <w:p>
      <w:pPr>
        <w:spacing w:after="0" w:line="1" w:lineRule="exact"/>
        <w:rPr>
          <w:rFonts w:ascii="Arial" w:cs="Arial" w:eastAsia="Arial" w:hAnsi="Arial"/>
          <w:sz w:val="17"/>
          <w:szCs w:val="17"/>
          <w:color w:val="auto"/>
        </w:rPr>
      </w:pPr>
    </w:p>
    <w:p>
      <w:pPr>
        <w:ind w:left="820" w:right="20" w:hanging="326"/>
        <w:spacing w:after="0" w:line="284" w:lineRule="auto"/>
        <w:tabs>
          <w:tab w:leader="none" w:pos="829"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Complex design flows and methodologies, as well as specialized languages for generating configurable interconnect IP. The designs require configuration using thousands of parameters that must be meticulously managed with millions of combinations;</w:t>
      </w:r>
    </w:p>
    <w:p>
      <w:pPr>
        <w:spacing w:after="0" w:line="9" w:lineRule="exact"/>
        <w:rPr>
          <w:rFonts w:ascii="Arial" w:cs="Arial" w:eastAsia="Arial" w:hAnsi="Arial"/>
          <w:sz w:val="17"/>
          <w:szCs w:val="17"/>
          <w:color w:val="auto"/>
        </w:rPr>
      </w:pPr>
    </w:p>
    <w:p>
      <w:pPr>
        <w:ind w:left="820" w:hanging="326"/>
        <w:spacing w:after="0" w:line="281" w:lineRule="auto"/>
        <w:tabs>
          <w:tab w:leader="none" w:pos="829" w:val="left"/>
        </w:tabs>
        <w:numPr>
          <w:ilvl w:val="0"/>
          <w:numId w:val="13"/>
        </w:numPr>
        <w:rPr>
          <w:rFonts w:ascii="Arial" w:cs="Arial" w:eastAsia="Arial" w:hAnsi="Arial"/>
          <w:sz w:val="17"/>
          <w:szCs w:val="17"/>
          <w:color w:val="auto"/>
        </w:rPr>
      </w:pPr>
      <w:r>
        <w:rPr>
          <w:rFonts w:ascii="Arial" w:cs="Arial" w:eastAsia="Arial" w:hAnsi="Arial"/>
          <w:sz w:val="17"/>
          <w:szCs w:val="17"/>
          <w:color w:val="auto"/>
        </w:rPr>
        <w:t>Capability to understand the physical implementation and floorplan of the target SoC in order to generate a design that meets physical implementation requirements in terms of timing, area and power;</w:t>
      </w:r>
    </w:p>
    <w:p>
      <w:pPr>
        <w:spacing w:after="0" w:line="1" w:lineRule="exact"/>
        <w:rPr>
          <w:rFonts w:ascii="Arial" w:cs="Arial" w:eastAsia="Arial" w:hAnsi="Arial"/>
          <w:sz w:val="17"/>
          <w:szCs w:val="17"/>
          <w:color w:val="auto"/>
        </w:rPr>
      </w:pPr>
    </w:p>
    <w:p>
      <w:pPr>
        <w:ind w:left="820" w:hanging="326"/>
        <w:spacing w:after="0" w:line="281" w:lineRule="auto"/>
        <w:tabs>
          <w:tab w:leader="none" w:pos="856" w:val="left"/>
        </w:tabs>
        <w:numPr>
          <w:ilvl w:val="0"/>
          <w:numId w:val="13"/>
        </w:numPr>
        <w:rPr>
          <w:rFonts w:ascii="Arial" w:cs="Arial" w:eastAsia="Arial" w:hAnsi="Arial"/>
          <w:sz w:val="17"/>
          <w:szCs w:val="17"/>
          <w:color w:val="auto"/>
        </w:rPr>
      </w:pPr>
      <w:r>
        <w:rPr>
          <w:rFonts w:ascii="Arial" w:cs="Arial" w:eastAsia="Arial" w:hAnsi="Arial"/>
          <w:sz w:val="17"/>
          <w:szCs w:val="17"/>
          <w:color w:val="auto"/>
        </w:rPr>
        <w:t>Sophisticated design verification methodologies to ensure the quality of configurable interconnect IP across millions of possible combinations, as well as complex test benches for simulation and emulation;</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In-depth knowledge of common interface protocols, graph theory, data models and graphical user interfaces;</w:t>
      </w:r>
    </w:p>
    <w:p>
      <w:pPr>
        <w:spacing w:after="0" w:line="61" w:lineRule="exact"/>
        <w:rPr>
          <w:rFonts w:ascii="Arial" w:cs="Arial" w:eastAsia="Arial" w:hAnsi="Arial"/>
          <w:sz w:val="17"/>
          <w:szCs w:val="17"/>
          <w:color w:val="auto"/>
        </w:rPr>
      </w:pPr>
    </w:p>
    <w:p>
      <w:pPr>
        <w:ind w:left="820" w:hanging="326"/>
        <w:spacing w:after="0" w:line="290" w:lineRule="auto"/>
        <w:tabs>
          <w:tab w:leader="none" w:pos="8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In-depth knowledge of safety standards including ISO 26262 ASIL B/D for automotive, IEEE 1685 IP-XACT IP standard for IP and SoC packaging, IEEE 1800 UVM verification standard; and</w:t>
      </w:r>
    </w:p>
    <w:p>
      <w:pPr>
        <w:ind w:left="820" w:hanging="326"/>
        <w:spacing w:after="0" w:line="284" w:lineRule="auto"/>
        <w:tabs>
          <w:tab w:leader="none" w:pos="8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Support a broad ecosystem of processors suppliers, other IP vendors, SoC design tool software providers, semiconductor foundries, and others.</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SoC integration automation development is similarly challenging as it requires broad support of the IP packaging standard, IEEE 1685 IP-XACT, and the ability to deliver features and enhancements required as customers deploy ever-changing IP block libraries for their SoC projects, address hardware-software integrations. Our SIA solutions have to conform not only to industry standards, but also to ever-evolving SoC integration methodologies.</w:t>
      </w:r>
    </w:p>
    <w:p>
      <w:pPr>
        <w:spacing w:after="0" w:line="11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Once interconnect IP is designed into customer SoC projects, there are significant switching costs to adopting different interconnect IP and SIA solutions, especially in the automotive sector where switching interconnect IP solutions may involve product functional safety re-certification.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research and development strategy includes offering customers several product enhancement releases per year, complemented with a planned introduction of at least one new interconnect IP or SIA product every year.</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believe we have assembled one of the premier engineering teams for interconnect IP development and SIA in the world. As of December 31, 2024, we had 105 engineers devoted to interconnect IP development and 54 engineers devoted to SIA solutions totaling 159 employees. In 2024, we spent $45.0 million on research and development, which represented 78% of our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interconnect IP, we primarily compete with interconnect solutions developed internally by our SoC customers and potential customers. Many of the largest semiconductor companies have their own interconnect IP development teams which make customer penetration relatively difficult, time-consuming, and expensive. However, we believe that over time the expense and difficulty of developing a broad suite of interconnect IP and SoC integration automation has the potential to expand the use of commercial SoC integration solutions. In addition, we also compete with third-party providers, including Arm and several smaller companies. While we do compete with Arm in the interconnect IP market, we believe our solutions are complementary to Arm’s processor portfolio and protocol deployment and are actively collaborating on joint automotive solutions. We often execute the integration of Arm processors in heterogeneous environments, which can accelerate the deployment of Arm processors. While smaller companies are developing interconnect solutions, we believe that our extensive investment in research and development over many years creates a barrier to entry. Developing interconnect IP solutions that are robust, configurable, and capable of handling multiple functionalities require deep technology expertise and large research and development investments. We compete based on die area reduction, lower idle power consumption, improved data movement performance such as frequency, latency, and bandwidth, as well as faster time to market. We believe we compete favorably with respect to these factors.</w:t>
      </w:r>
    </w:p>
    <w:p>
      <w:pPr>
        <w:spacing w:after="0" w:line="13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Based on management’s experience, we believe that in order to develop a new interconnect IP product, it would take a new entrant in the interconnect IP market three to four years to develop a mature product, two to four years of market development and five to seven years to build a royalty generating customer base.</w:t>
      </w:r>
    </w:p>
    <w:p>
      <w:pPr>
        <w:spacing w:after="0" w:line="11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SIA solutions similarly compete mainly against internally developed solutions. Commercial competitors consist of smaller companies that generally provide point products rather than complete solutions.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rely on a combination of intellectual property rights, including patents, trade secrets, copyrights and trademarks, and contractual protections, to protect our core technology and intellectual property. As of December 31, 2024, we had 94 total allowed or issued patents, pending patent applications and non-expired provisional patent applications worldwide. Of these 94 allowed or issued patents, 78 are U.S. allowed or issued patents, 10 are allowed or issued China patents, three are South Korea issued patents, one is a U.K. issued patent, one is a Europe issued patent, and one is a Japan issued patent. The 94 allowed or issued patents generally expire between July 2035 and July 2042. As of December 31, 2024, we had 120 pending non-provisional and provisional patent application filings, 39 in the United States, 30 in Europe, 24 in China, 14 in South Korea and 13 in Japan. In addition, we have a trademark program covering, where feasible and in accordance with local laws, our products as well as our corporate names and logos.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progress in developing our technology and products, and our ability to compete worldwide, is a direct result of our commitment to develop and maintain leadership of our proprietary products and to develop and file to protect our intellectual property. We rely on a combination of patent, trademark, trade secret, and copyright laws, as well as contractual and licensing restrictions to protect the proprietary aspects of our technology. We also take steps to protect against misuse of our licensed products, for example with license keys that limit the time allowed for our licensee customers to use configuration tools to generate hardware description source code that is used in their semiconductor hardware products.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routinely use non-disclosure agreements, limited evaluation agreements, and substantive license agreements with procedures to assist customer usage while limiting wrongful disclosure or misuse of our intellectual property. In addition, we are committed to developing products not only in the U.S. but in France and other countries, where the country of origin may favorably impact the ability to license our IP solutions and technology in accordance with applicable export laws and regulations. Technological change and customer needs for emerging feature needs in our solutions inspire and motivate our personnel to update and enhance our offerings periodically.</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focus on patent protection beyond the United States in countries and jurisdictions where we determine that such filings will assist the strategic reach and value of our patent portfolio. Patents and other legal IP protections arise when we have conceived or developed novel and valuable new or improved technology relating to our IP solutions, that may affect our customer and our own licensing business outside the U.S. Certain countries in which our IP solutions are or may be developed, manufactured or sold may not have or enforce laws that protect our technology and intellectual property rights to the same extent as under U.S. law.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Agreements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Qualcomm Agreements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connection with an Asset Purchase Agreement by and among Qualcomm Technologies, Inc. and Qualcomm France SARL (collectively, Qualcomm) and us and certain of our subsidiaries dated October 9, 2013, pursuant to which we sold to Qualcomm certain assets and intellectual property related to our FlexNoC product (the Purchase Agreement), we and our affiliates retained a non-exclusive, worldwide, perpetual right under patents acquired under the Purchase Agreement to, among other things, manufacture, license and distribute certain FlexNoC products and certain modifications thereto (the Retained Rights). In addition, we and Qualcomm Technologies, Inc. entered into a License Agreement dated October 11, 2013 (the License Agreement) pursuant to which we and our affiliates obtained a license to, among other things, reproduce, use, license, and distribute certain FlexNoC-related works of authorship and technology that were acquired or owned by Qualcomm in connection with the Purchase Agreement for the purpose of enabling us to continue to offer and support FlexNoC products and certain modifications thereto (the Licensed Rights). There is no charge under the Purchase Agreement for our use of the Retained Rights or the Licensed Rights. Our rights in the Retained Rights continue until the last to expire of the relevant patents, and the License Agreement continues in perpetuity, in each case unless terminated as described below.</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Qualcomm may terminate the Retained Rights in the event (i) we or our subsidiaries that are party to the Purchase Agreement breach any material terms of the Purchase Agreement applicable to the Retained Rights or any material terms of the License Agreement and fail to cure any such breach within 90 days after notice of such breach from Qualcomm, or (ii) we or any of our affiliates initiate a claim of patent infringement against Qualcomm or its affiliates (excluding such claims that are counterclaims in proceedings initiated by Qualcomm or its affiliates) and does not withdraw such claim within 30 days after Qualcomm’s written request to do so. Qualcomm may terminate the License Agreement in the event we breach any material terms of the License Agreement or any material terms of the Purchase Agreement applicable to the Retained Rights and fail to cure such breach within 90 days after notice of such breach from Qualcomm. Qualcomm may also terminate rights granted under the License Agreement to a certain development environment used in connection with our FlexNoC product (which could effectively preclude us from continuing to enhance our FlexNoC product and adversely affect our FlexNoC business) in the event of a change of control of our company (as defined in the License Agreement) which would effectively include, in a transaction or series of related transactions, a sale of our company, or the sales of securities by us or our stockholders that would result in the stockholders and option holders of our company as of the date of the License Agreement not retaining beneficial ownership of more than 50% of our company. We believe that, as we have and continue to deliver new products since the date of the License Agreement, such as our range of SIA solutions, Ncore cache coherent interconnect, CodaCache last-level cache, and CSRCompiler physical awareness capabilities, the importance to our business and product portfolio of the FlexNoC development environment will decrease over time.</w:t>
      </w:r>
    </w:p>
    <w:p>
      <w:pPr>
        <w:spacing w:after="0" w:line="3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may not assign the License Agreement without Qualcomm’s written consent (and a change of control of our company shall be considered an assignment for the purposes of such prohibition) except that we may assign the License Agreement to an acquirer of our business that consists of licensing certain FlexNoC products, and we may only assign the Retained Rights to an entity to whom we have assigned the License Agreement.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subject to regulation by various governmental agencies in the United States and other jurisdictions in which we operate. These laws and regulations (and the government entities, regulators, and agencies responsible for their enforcement) in the United States cover among other things: radio frequency emission regulatory activities (Federal Communications Commission); anti-trust regulatory activities (Federal Trade Commission and Department of Justice); insider trading, anti-bribery, and anti-corruption (Department of Justice), consumer protection (Federal Trade Commission); import/export regulatory activities (Department of Commerce and Department of Treasury);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federal and state tax and other regulations by a variety of regulatory authorities in each of the areas in which we conduct business. Our operations are also subject to the U.S. Foreign Corrupt Practices Act of 1977, as amended (the FCPA), the U.S. domestic bribery statute contained in 18 U.S.C. § 201, the U.S. Travel Act, the USA PATRIOT Act, as well as the anti-corruption, anti-bribery, and anti-money laundering laws in the U.S. and other countries where we conduct business.</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addition, certain of our products, including our IP interconnect and other solutions and technology, are subject to U.S. export controls, including the U.S. Department of Commerce’s Export Administration Regulations (EAR) and economic and trade sanctions regulations administered by the U.S. Treasury Department’s Office of Foreign Assets Controls (OFAC). Other products are subject to French export controls. These regulations may limit the export of our products and technology, and the provision of our services outside of the United States and/or France,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The export and re-export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In July 2021, we submitted a voluntary self-disclosure (VSD) to the U.S. Department of Commerce's Bureau of Industry and Security (BIS), noting potential violations of the EAR. On April 28, 2022, the Office of Export Enforcement of BIS closed the matter with the issuance of a warning letter. With respect to government authorizations, we have no pending export license requests to BIS or any other government agency, and no export licenses are currently required to export our products from the United States or other countries to countries where we do business.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harm our business.</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From time to time, we have adopted and will continue to adopt remedial measures in response to government regulation. For example, we have adopted several remedial measures prior to, in connection with and following the initial notification of voluntary self-disclosure we submitted to BIS. These compliance enhancements were developed and implemented in consultation with outside counsel specializing in U.S. trade compliance. These steps have included annual basic export compliance training within our company, updating our written export control policies and procedures, and adopting a revised export compliance manual in 2021. We have provided export awareness training for relevant personnel including in 2023 and 2022. We previously provided our sales employees worldwide with training in basic export compliance. We engaged third-party vendor software to assist us with an ongoing screening of new and existing customers, third-party agents or representatives, suppliers, and other vendors against U.S., France and several other jurisdictions prohibited or restricted party lists. We screen all customers against applicable lists of denied or restricted parties, including the Entity List administered by BIS as well as the list of Specially Designated Nationals and Blocked Persons, administered by the Treasury Department’s Office of Foreign Assets Control.</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For a discussion of the various risks we face from regulation and compliance matters, see “Risk Factors—Risks Related to Our Business and Industry—We are subject to data protection, privacy and security laws, regulations, standards and other requirements across different markets where we conduct our business. Our actual or perceived failure to comply with such obligations could harm our business,” “Risk Factors—Risks Related to Legal, Regulatory, Accounting and Tax Matters—Our failure to comply with the large body of laws and regulations to which we are subject could materially harm our business,” “Risk Factors—Risks Related to Legal, Regulatory, Accounting and Tax Matters—Our failure to comply with the Foreign Corrupt Practices Act, other applicable anti-corruption and anti-bribery laws, and applicable anti-money laundering laws could subject us to penalties and other adverse consequences,” “Risk Factors—Risks Related to Legal, Regulatory, Accounting and Tax Matters—We are subject to government regulation, including import, export and economic sanctions laws and artificial intelligence regulations that may expose us to liability and increase our costs,” “Risk Factors—Risks Related to Legal, Regulatory, Accounting and Tax Matters—We will lose sales if we are unable to obtain government authorization to export certain of our products and services, and we will be subject to legal and regulatory consequences if we do not comply with applicable export control laws and regulations or if such laws and regulations were to change.”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2024, we had 267 employees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6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r>
      <w:tr>
        <w:trPr>
          <w:trHeight w:val="210"/>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Function</w:t>
            </w:r>
          </w:p>
        </w:tc>
        <w:tc>
          <w:tcPr>
            <w:tcW w:w="1480" w:type="dxa"/>
            <w:vAlign w:val="bottom"/>
            <w:shd w:val="clear" w:color="auto" w:fill="CCEEFF"/>
          </w:tcPr>
          <w:p>
            <w:pPr>
              <w:spacing w:after="0"/>
              <w:rPr>
                <w:sz w:val="18"/>
                <w:szCs w:val="18"/>
                <w:color w:val="auto"/>
              </w:rPr>
            </w:pPr>
          </w:p>
        </w:tc>
      </w:tr>
      <w:tr>
        <w:trPr>
          <w:trHeight w:val="250"/>
        </w:trPr>
        <w:tc>
          <w:tcPr>
            <w:tcW w:w="976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1480" w:type="dxa"/>
            <w:vAlign w:val="bottom"/>
          </w:tcPr>
          <w:p>
            <w:pPr>
              <w:jc w:val="right"/>
              <w:spacing w:after="0"/>
              <w:rPr>
                <w:sz w:val="20"/>
                <w:szCs w:val="20"/>
                <w:color w:val="auto"/>
              </w:rPr>
            </w:pPr>
            <w:r>
              <w:rPr>
                <w:rFonts w:ascii="Arial" w:cs="Arial" w:eastAsia="Arial" w:hAnsi="Arial"/>
                <w:sz w:val="17"/>
                <w:szCs w:val="17"/>
                <w:color w:val="auto"/>
              </w:rPr>
              <w:t>159</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r>
      <w:tr>
        <w:trPr>
          <w:trHeight w:val="250"/>
        </w:trPr>
        <w:tc>
          <w:tcPr>
            <w:tcW w:w="9760" w:type="dxa"/>
            <w:vAlign w:val="bottom"/>
          </w:tcPr>
          <w:p>
            <w:pPr>
              <w:ind w:left="20"/>
              <w:spacing w:after="0"/>
              <w:rPr>
                <w:sz w:val="20"/>
                <w:szCs w:val="20"/>
                <w:color w:val="auto"/>
              </w:rPr>
            </w:pPr>
            <w:r>
              <w:rPr>
                <w:rFonts w:ascii="Arial" w:cs="Arial" w:eastAsia="Arial" w:hAnsi="Arial"/>
                <w:sz w:val="17"/>
                <w:szCs w:val="17"/>
                <w:color w:val="auto"/>
              </w:rPr>
              <w:t>Administration</w:t>
            </w:r>
          </w:p>
        </w:tc>
        <w:tc>
          <w:tcPr>
            <w:tcW w:w="148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63"/>
        </w:trPr>
        <w:tc>
          <w:tcPr>
            <w:tcW w:w="97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48"/>
        </w:trPr>
        <w:tc>
          <w:tcPr>
            <w:tcW w:w="9760" w:type="dxa"/>
            <w:vAlign w:val="bottom"/>
          </w:tcPr>
          <w:p>
            <w:pPr>
              <w:ind w:left="20"/>
              <w:spacing w:after="0"/>
              <w:rPr>
                <w:sz w:val="20"/>
                <w:szCs w:val="20"/>
                <w:color w:val="auto"/>
              </w:rPr>
            </w:pPr>
            <w:r>
              <w:rPr>
                <w:rFonts w:ascii="Arial" w:cs="Arial" w:eastAsia="Arial" w:hAnsi="Arial"/>
                <w:sz w:val="17"/>
                <w:szCs w:val="17"/>
                <w:b w:val="1"/>
                <w:bCs w:val="1"/>
                <w:color w:val="auto"/>
              </w:rPr>
              <w:t>Geographic Distribution</w:t>
            </w:r>
          </w:p>
        </w:tc>
        <w:tc>
          <w:tcPr>
            <w:tcW w:w="1480" w:type="dxa"/>
            <w:vAlign w:val="bottom"/>
          </w:tcPr>
          <w:p>
            <w:pPr>
              <w:spacing w:after="0"/>
              <w:rPr>
                <w:sz w:val="21"/>
                <w:szCs w:val="21"/>
                <w:color w:val="auto"/>
              </w:rPr>
            </w:pPr>
          </w:p>
        </w:tc>
      </w:tr>
      <w:tr>
        <w:trPr>
          <w:trHeight w:val="265"/>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r>
      <w:tr>
        <w:trPr>
          <w:trHeight w:val="250"/>
        </w:trPr>
        <w:tc>
          <w:tcPr>
            <w:tcW w:w="9760" w:type="dxa"/>
            <w:vAlign w:val="bottom"/>
          </w:tcPr>
          <w:p>
            <w:pPr>
              <w:ind w:left="20"/>
              <w:spacing w:after="0"/>
              <w:rPr>
                <w:sz w:val="20"/>
                <w:szCs w:val="20"/>
                <w:color w:val="auto"/>
              </w:rPr>
            </w:pPr>
            <w:r>
              <w:rPr>
                <w:rFonts w:ascii="Arial" w:cs="Arial" w:eastAsia="Arial" w:hAnsi="Arial"/>
                <w:sz w:val="17"/>
                <w:szCs w:val="17"/>
                <w:color w:val="auto"/>
              </w:rPr>
              <w:t>France</w:t>
            </w:r>
          </w:p>
        </w:tc>
        <w:tc>
          <w:tcPr>
            <w:tcW w:w="148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China</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50"/>
        </w:trPr>
        <w:tc>
          <w:tcPr>
            <w:tcW w:w="9760" w:type="dxa"/>
            <w:vAlign w:val="bottom"/>
          </w:tcPr>
          <w:p>
            <w:pPr>
              <w:ind w:left="20"/>
              <w:spacing w:after="0"/>
              <w:rPr>
                <w:sz w:val="20"/>
                <w:szCs w:val="20"/>
                <w:color w:val="auto"/>
              </w:rPr>
            </w:pPr>
            <w:r>
              <w:rPr>
                <w:rFonts w:ascii="Arial" w:cs="Arial" w:eastAsia="Arial" w:hAnsi="Arial"/>
                <w:sz w:val="17"/>
                <w:szCs w:val="17"/>
                <w:color w:val="auto"/>
              </w:rPr>
              <w:t>South Korea</w:t>
            </w:r>
          </w:p>
        </w:tc>
        <w:tc>
          <w:tcPr>
            <w:tcW w:w="14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Japan</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7"/>
        </w:trPr>
        <w:tc>
          <w:tcPr>
            <w:tcW w:w="9760" w:type="dxa"/>
            <w:vAlign w:val="bottom"/>
          </w:tcPr>
          <w:p>
            <w:pPr>
              <w:ind w:left="20"/>
              <w:spacing w:after="0"/>
              <w:rPr>
                <w:sz w:val="20"/>
                <w:szCs w:val="20"/>
                <w:color w:val="auto"/>
              </w:rPr>
            </w:pPr>
            <w:r>
              <w:rPr>
                <w:rFonts w:ascii="Arial" w:cs="Arial" w:eastAsia="Arial" w:hAnsi="Arial"/>
                <w:sz w:val="17"/>
                <w:szCs w:val="17"/>
                <w:color w:val="auto"/>
              </w:rPr>
              <w:t>Poland</w:t>
            </w:r>
          </w:p>
        </w:tc>
        <w:tc>
          <w:tcPr>
            <w:tcW w:w="14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59"/>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Elsewhere</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bl>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consider relations with our employees to be good and have never experienced a work stoppage. None of our employees are either represented by a labor union, although our employees in France are subject to a collective bargaining agreement.</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Corporation Information</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were incorporated in the State of Delaware in April 2004. Our principal executive offices are located at 900 E. Hamilton Ave. Suite 300, Campbell, CA 95008. Our telephone number is (408) 470-7300, and our website address is www.arteris.com. The information contained on, or that can be accessed through, our website is not incorporated by reference in this report and does not form a part of this report. You should not consider the information contained on our website to be part of this report in deciding whether to purchase shares of our common stock. Our common stock is traded on the Nasdaq Stock Market under the symbol “AIP”.</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website address is www.arteris.com. Information found on, or accessible through, our website is not a part of, and is not incorporated into, this Annual Report on Form 10-K. We file electronically with the SEC our annual reports on Form 10-K, quarterly reports on Form 10-Q, current reports on Form 8-K, and amendments to those reports filed or furnished pursuant to Section 13(a) or 15(d) of the Exchange Act. We make available on our website at www.arteris.com, free of charge, copies of these reports and other information as soon as reasonably practicable after we electronically file such material with, or furnish it to, the SEC.</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Investing in our common stock involves a high degree of risk. Before making your decision to invest in shares of our common stock, you should carefully consider and read carefully all of the risks described below, together with the other information contained in this report, including our financial statements and the related notes and the section titled “Management’s Discussion and Analysis of Financial Condition and Results of Operations” in this report.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revenue and future prospects. In such an event, the trading price of our common stock could decline, and you could lose all or part of your investment. Additional risks and uncertainties not presently known to us or not believed by us to be material may also negatively impact us.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6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face significant competition from larger companies and third-party providers that may deploy their resources so they can develop their IP solutions internally.</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are engaged in a competitive segment of the global semiconductor industry. Our competitive landscape is characterized by competition from companies that have greater resources than us. A variety of factors could adversely impact our ability to compete, including rapid technological change in product design and manufacturing, customers that make purchase decisions based on a mix of factors of varying importance and continuous declines in average selling prices (ASPs). We compete principally on the basis of technology, product quality and features, license, royalty and usage terms, post-contract customer support, interoperability among products, and price and payment terms.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operate in industries characterized by rapidly changing technologies as well as rapid innovation and technological obsolescence. The appearance of new competitors, including start-up enterprises, introduction of new products by our competitors or our failure to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Often, we compete against larger companies that possess substantial financial, technical, research and development and engineering resources that can be deployed so they can develop their IP solutions internally. In addition, we compete against other third-party providers of IP integration solutions, such as Arm and Cadence that similarly possess substantial financial, technical, research and development and engineering resources. In certain cases, competitive companies may be supported by local or international government funding and similar resources. Varying combinations of these resources provide advantages to these competitors that enable them to influence industry trends and the pace at which they adapt to these trends. A strong competitive response from one or more of our competitors to our marketplace efforts, or a shift in customer preferences to competitors’ products, could result in increased pressure to lower our prices more rapidly than anticipated, increased sales and marketing expense, and/or market share loss. The consolidation of our competitors or collaboration among our competitors to deliver more comprehensive offerings than they could individually, may also impact our ability to compete effectively. To the extent our revenue is negatively impacted by competitive pressures and reduced pricing, our business could be harmed.</w:t>
      </w:r>
    </w:p>
    <w:p>
      <w:pPr>
        <w:spacing w:after="0" w:line="12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ability to compete in our market is subject to a variety of factors, many of which are beyond our control. The occurrence of any of the below could adversely affect our ability to compete and harm our business:</w:t>
      </w:r>
    </w:p>
    <w:p>
      <w:pPr>
        <w:spacing w:after="0" w:line="104" w:lineRule="exact"/>
        <w:rPr>
          <w:sz w:val="20"/>
          <w:szCs w:val="20"/>
          <w:color w:val="auto"/>
        </w:rPr>
      </w:pPr>
    </w:p>
    <w:p>
      <w:pPr>
        <w:ind w:left="820" w:right="20" w:hanging="326"/>
        <w:spacing w:after="0" w:line="284" w:lineRule="auto"/>
        <w:tabs>
          <w:tab w:leader="none" w:pos="8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anticipate and lead critical product development cycles and technological shifts as driven by our target markets, to innovate rapidly and efficiently and to improve our existing solutions.</w:t>
      </w:r>
    </w:p>
    <w:p>
      <w:pPr>
        <w:spacing w:after="0" w:line="117"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Whether any competitor substantially increases its engineering and marketing resources to compete with us in the semiconductor IP interconnect and SIA software technology arena.</w:t>
      </w:r>
    </w:p>
    <w:p>
      <w:pPr>
        <w:spacing w:after="0" w:line="104"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Whether a new entrant with substantially greater resources and/or supported by governmental resources decides to enter the markets in which we compete.</w:t>
      </w:r>
    </w:p>
    <w:p>
      <w:pPr>
        <w:spacing w:after="0" w:line="104" w:lineRule="exact"/>
        <w:rPr>
          <w:rFonts w:ascii="Arial" w:cs="Arial" w:eastAsia="Arial" w:hAnsi="Arial"/>
          <w:sz w:val="17"/>
          <w:szCs w:val="17"/>
          <w:color w:val="auto"/>
        </w:rPr>
      </w:pPr>
    </w:p>
    <w:p>
      <w:pPr>
        <w:ind w:left="820" w:hanging="326"/>
        <w:spacing w:after="0" w:line="301" w:lineRule="auto"/>
        <w:tabs>
          <w:tab w:leader="none" w:pos="8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Whether any existing or new competitor bundles its technologies into one package at a discounted price that would make it uneconomical for our customers to license our products separately.</w:t>
      </w:r>
    </w:p>
    <w:p>
      <w:pPr>
        <w:spacing w:after="0" w:line="90"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challenges of developing, or acquiring externally developed, technology solutions that are adequate and competitive in meeting the rapidly evolving requirements of next-generation design challenges.</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compete on the basis of payment, pricing, features and/or terms.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820" w:hanging="326"/>
        <w:spacing w:after="0" w:line="266" w:lineRule="auto"/>
        <w:tabs>
          <w:tab w:leader="none" w:pos="8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Decisions by semiconductor companies, fabless chip design or system companies, device or other end product producers, and/or OEMs to develop IP development internally, rather than license IP from outside vendors due to budget constraints or excess engineering capacity.</w:t>
      </w:r>
    </w:p>
    <w:p>
      <w:pPr>
        <w:spacing w:after="0" w:line="133"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Actions by regulators or governmental entities to impose license requirements, limit product availability, limit trade and exportability of our products, the features or contractual terms that either we or our customers can apply to product and service offerings, or to affect monetary policy.</w:t>
      </w:r>
    </w:p>
    <w:p>
      <w:pPr>
        <w:spacing w:after="0" w:line="119" w:lineRule="exact"/>
        <w:rPr>
          <w:rFonts w:ascii="Arial" w:cs="Arial" w:eastAsia="Arial" w:hAnsi="Arial"/>
          <w:sz w:val="17"/>
          <w:szCs w:val="17"/>
          <w:color w:val="auto"/>
        </w:rPr>
      </w:pPr>
    </w:p>
    <w:p>
      <w:pPr>
        <w:ind w:left="820" w:hanging="326"/>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Actions by regulators or governmental entities to modify or augment tax treatment of our product and service offerings.</w:t>
      </w:r>
    </w:p>
    <w:p>
      <w:pPr>
        <w:spacing w:after="0" w:line="169" w:lineRule="exact"/>
        <w:rPr>
          <w:rFonts w:ascii="Arial" w:cs="Arial" w:eastAsia="Arial" w:hAnsi="Arial"/>
          <w:sz w:val="17"/>
          <w:szCs w:val="17"/>
          <w:color w:val="auto"/>
        </w:rPr>
      </w:pPr>
    </w:p>
    <w:p>
      <w:pPr>
        <w:ind w:left="820" w:hanging="326"/>
        <w:spacing w:after="0" w:line="301" w:lineRule="auto"/>
        <w:tabs>
          <w:tab w:leader="none" w:pos="82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impact of global and regional inflation on ours and our customers’ profitability and expansion plans due to among other effects of inflation, increases in wages, availability of capital, salaries, operating expenses, and costs of insurance, benefits and medical coverage.</w:t>
      </w:r>
    </w:p>
    <w:p>
      <w:pPr>
        <w:spacing w:after="0" w:line="90" w:lineRule="exact"/>
        <w:rPr>
          <w:rFonts w:ascii="Arial" w:cs="Arial" w:eastAsia="Arial" w:hAnsi="Arial"/>
          <w:sz w:val="17"/>
          <w:szCs w:val="17"/>
          <w:color w:val="auto"/>
        </w:rPr>
      </w:pPr>
    </w:p>
    <w:p>
      <w:pPr>
        <w:jc w:val="both"/>
        <w:ind w:left="820" w:hanging="326"/>
        <w:spacing w:after="0" w:line="259" w:lineRule="auto"/>
        <w:tabs>
          <w:tab w:leader="none" w:pos="8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potential effects of geopolitical conflicts, such as the military conflict between Russia and Ukraine and the conflict in Israel, including retaliatory, military and regulatory actions, or other actions that escalate tensions, including with respect to the conflict in Israel, actions involving Iran and other groups in the Middle East, on our customers’ engineering resources, design schedules, purchasing, development, sales and innovation responses and trends in response to such conflicts. Specifically, the conflict in Israel and Gaza has created an uncertain business and investment environment in the region. Many companies, particularly small to medium enterprises, are experiencing challenges raising money leading to cutbacks and project delays.</w:t>
      </w:r>
    </w:p>
    <w:p>
      <w:pPr>
        <w:spacing w:after="0" w:line="124" w:lineRule="exact"/>
        <w:rPr>
          <w:rFonts w:ascii="Arial" w:cs="Arial" w:eastAsia="Arial" w:hAnsi="Arial"/>
          <w:sz w:val="17"/>
          <w:szCs w:val="17"/>
          <w:color w:val="auto"/>
        </w:rPr>
      </w:pPr>
    </w:p>
    <w:p>
      <w:pPr>
        <w:ind w:left="820" w:hanging="326"/>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Competition, embargoes, sanctions, boycotts and/or social unrest.</w:t>
      </w:r>
    </w:p>
    <w:p>
      <w:pPr>
        <w:spacing w:after="0" w:line="169"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Local or international economic headwind trends that may lead to recessions, economic slowdowns or sudden changes in the economic needs of regions and consumers.</w:t>
      </w:r>
    </w:p>
    <w:p>
      <w:pPr>
        <w:spacing w:after="0" w:line="104" w:lineRule="exact"/>
        <w:rPr>
          <w:rFonts w:ascii="Arial" w:cs="Arial" w:eastAsia="Arial" w:hAnsi="Arial"/>
          <w:sz w:val="17"/>
          <w:szCs w:val="17"/>
          <w:color w:val="auto"/>
        </w:rPr>
      </w:pPr>
    </w:p>
    <w:p>
      <w:pPr>
        <w:ind w:left="820" w:right="20" w:hanging="326"/>
        <w:spacing w:after="0" w:line="301" w:lineRule="auto"/>
        <w:tabs>
          <w:tab w:leader="none" w:pos="829" w:val="left"/>
        </w:tabs>
        <w:numPr>
          <w:ilvl w:val="0"/>
          <w:numId w:val="15"/>
        </w:numPr>
        <w:rPr>
          <w:rFonts w:ascii="Arial" w:cs="Arial" w:eastAsia="Arial" w:hAnsi="Arial"/>
          <w:sz w:val="17"/>
          <w:szCs w:val="17"/>
          <w:color w:val="auto"/>
        </w:rPr>
      </w:pPr>
      <w:r>
        <w:rPr>
          <w:rFonts w:ascii="Arial" w:cs="Arial" w:eastAsia="Arial" w:hAnsi="Arial"/>
          <w:sz w:val="17"/>
          <w:szCs w:val="17"/>
          <w:color w:val="auto"/>
        </w:rPr>
        <w:t>Silicon chip supply chain and shipment volume restrictions on our customers and their end customers that will impact the amount of royalties payable to us.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may be unable to reduce the cost of our products sufficiently to compete effectively against our competitors. Our cost reduction efforts may not allow us to keep pace with competitive pricing pressures and/or other economic factors including inflation and customer and end market supply chain constraints which could adversely affect our gross margins and ability to meet customer demand. To the extent we are unable to reduce the prices of our products and remain competitive, our revenue will likely decline, resulting in further pressure on our gross margins, which could harm our business. Many other companies in the IP interconnect space have not been able to continue as a going concern due to intense competition and low margins. See “Business—Competition”.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and we may not achieve or maintain profitability in the future.</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have incurred net losses in certain periods historically. We incurred a net loss of $33.6 million and $36.9 million for the years ended December 31, 2024, and 2023, respectively. As of December 31, 2024, we had an accumulated deficit of $136.9 million. We have spent significant funds on organizational and start-up activities, to recruit engineers and other employees and to support our research and development. The net losses we incur may fluctuate significantly from quarter to quarter and may increase as a result of geopolitical and market fluctuations, inflation, economic slowdown and/or recessionary pressures and other global economic factors.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long-term success is dependent upon our ability to successfully market our interconnect IP and SIA solutions, develop new interconnect IP and SIA solutions, earn revenue, obtain additional capital when needed and, ultimately, to maintain profitable operations. We will need to generate significant additional revenue to achieve profitability. It is possible that we will not achieve profitability or that, even if we do achieve profitability, we may not maintain or increase profitability in the future. Our failure to achieve or maintain profitability could negatively impact the value of our common stock.</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IP solutions include technology that manages on-chip communications in SoC semiconductor devices. We do not license our IP solutions and deployment tools directly to end-users; we license our technology primarily to companies in the automotive market, enterprise computing market, communications market, consumer electronics market, and industrial market who then incorporate our technology into the products they sell. As a result, we rely on our customers to incorporate our technology into their end products at the design stage. Once a company incorporates a competitor’s technology or develops the technology internally and incorporates it into its end product, it becomes significantly more difficult for us to sell our technology to that company because changing suppliers involves significant cost, time, effort and risk for the company. As a result, we may not achieve targeted customer acceptance despite incurring significant expenditures to develop new technology.</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Moreover, even after customers agree to incorporate our technology into their end products, the design cycle is long and may be delayed due to factors beyond our control, which may result in our customers’ product not reaching the market until long after our initial design win, which we define as winning the competitive bid selection process. From initial product design-in to volume production, many factors could impact the timing and/or amount of sales realized from the design-in. These factors include, but are not limited to, changes in the competitive position of our customers’ product, our customers’ financial stability, and our customers’ ability to ship products under our customers’ original schedule. Moreover, several external factors affect our customers’ ability and willingness to start their own new product designs and to manufacture and ship their products, including target product market conditions, our customers’ financial stability, our customers’ competitive positioning and external economic conditions (such as, but not, limited to inflation, recessions, customer and end market supply chain constraints, geopolitical conflict, sanctions, and competition) that may prolong the customers’ decision-making process and design cycle.</w:t>
      </w:r>
    </w:p>
    <w:p>
      <w:pPr>
        <w:spacing w:after="0" w:line="1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Further, we do not control the business practices of our customers, and we do not influence the degree to which they promote, market or set their product pricing. We therefore cannot assure you that our customers will devote satisfactory efforts to promote their end products, which incorporate our IP technology and deployment solutions.</w:t>
      </w:r>
    </w:p>
    <w:p>
      <w:pPr>
        <w:spacing w:after="0" w:line="120"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We depend on growth and economic stability in the end markets that use our products. Any slowdown in the growth and economic stability of these end markets could harm our business.</w:t>
      </w:r>
    </w:p>
    <w:p>
      <w:pPr>
        <w:spacing w:after="0" w:line="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continued success will depend in large part on general economic growth and stability, and growth and stability within our target markets in the automotive market, enterprise computing market, communications market, consumer electronics market, and industrial market. Factors affecting these markets could seriously harm our customers and/or end customers and, as a result, harm us, examples of which include:</w:t>
      </w:r>
    </w:p>
    <w:p>
      <w:pPr>
        <w:spacing w:after="0" w:line="120"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Reduced sales of our customers’ and/or end customers’ products.</w:t>
      </w:r>
    </w:p>
    <w:p>
      <w:pPr>
        <w:spacing w:after="0" w:line="169" w:lineRule="exact"/>
        <w:rPr>
          <w:rFonts w:ascii="Arial" w:cs="Arial" w:eastAsia="Arial" w:hAnsi="Arial"/>
          <w:sz w:val="17"/>
          <w:szCs w:val="17"/>
          <w:color w:val="auto"/>
        </w:rPr>
      </w:pPr>
    </w:p>
    <w:p>
      <w:pPr>
        <w:jc w:val="both"/>
        <w:ind w:left="820" w:right="20" w:hanging="326"/>
        <w:spacing w:after="0" w:line="274" w:lineRule="auto"/>
        <w:tabs>
          <w:tab w:leader="none" w:pos="82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effects of catastrophic and other disruptive events at our customers’ and/or end customers’ offices or facilities including, but not limited to, natural disasters, telecommunications failures, cyber-attacks, terrorist attacks, regional conflicts, pandemics, epidemics or other outbreaks of infectious disease, breaches of security or loss of critical data.</w:t>
      </w:r>
    </w:p>
    <w:p>
      <w:pPr>
        <w:spacing w:after="0" w:line="113"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Increased costs associated with potential disruptions to our customers’ and/or end markets’ supply chain and other manufacturing and production operations.</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deterioration of our customers’ and/or end customers’ financial condition.</w:t>
      </w:r>
    </w:p>
    <w:p>
      <w:pPr>
        <w:spacing w:after="0" w:line="182" w:lineRule="exact"/>
        <w:rPr>
          <w:rFonts w:ascii="Arial" w:cs="Arial" w:eastAsia="Arial" w:hAnsi="Arial"/>
          <w:sz w:val="17"/>
          <w:szCs w:val="17"/>
          <w:color w:val="auto"/>
        </w:rPr>
      </w:pPr>
    </w:p>
    <w:p>
      <w:pPr>
        <w:ind w:left="820" w:hanging="326"/>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and project cancellations as a result of design flaws in the products developed by our customers and/or end customers.</w:t>
      </w:r>
    </w:p>
    <w:p>
      <w:pPr>
        <w:spacing w:after="0" w:line="169"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inability of our customers and/or end customers to expand or dedicate the resources necessary to promote and commercialize their products.</w:t>
      </w:r>
    </w:p>
    <w:p>
      <w:pPr>
        <w:spacing w:after="0" w:line="104"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inability of our customers and/or end customers to adapt to changing technological demands resulting in their products becoming obsolete.</w:t>
      </w:r>
    </w:p>
    <w:p>
      <w:pPr>
        <w:spacing w:after="0" w:line="117" w:lineRule="exact"/>
        <w:rPr>
          <w:rFonts w:ascii="Arial" w:cs="Arial" w:eastAsia="Arial" w:hAnsi="Arial"/>
          <w:sz w:val="17"/>
          <w:szCs w:val="17"/>
          <w:color w:val="auto"/>
        </w:rPr>
      </w:pPr>
    </w:p>
    <w:p>
      <w:pPr>
        <w:ind w:left="820" w:hanging="326"/>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failure of our customers’ and/or end customers’ products to achieve market success and gain broad market acceptance.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Disruption and uncertainty caused by new developments in export and related regulations.</w:t>
      </w:r>
    </w:p>
    <w:p>
      <w:pPr>
        <w:spacing w:after="0" w:line="169" w:lineRule="exact"/>
        <w:rPr>
          <w:rFonts w:ascii="Arial" w:cs="Arial" w:eastAsia="Arial" w:hAnsi="Arial"/>
          <w:sz w:val="17"/>
          <w:szCs w:val="17"/>
          <w:color w:val="auto"/>
        </w:rPr>
      </w:pPr>
    </w:p>
    <w:p>
      <w:pPr>
        <w:ind w:left="820" w:right="20" w:hanging="326"/>
        <w:spacing w:after="0" w:line="284" w:lineRule="auto"/>
        <w:tabs>
          <w:tab w:leader="none" w:pos="842"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Regional and global effects of inflation or other adverse economic conditions, such as rising interest rates, recessions or economic slowdowns, resulting in delays or cancellations of new product design starts.</w:t>
      </w:r>
    </w:p>
    <w:p>
      <w:pPr>
        <w:spacing w:after="0" w:line="117" w:lineRule="exact"/>
        <w:rPr>
          <w:rFonts w:ascii="Arial" w:cs="Arial" w:eastAsia="Arial" w:hAnsi="Arial"/>
          <w:sz w:val="17"/>
          <w:szCs w:val="17"/>
          <w:color w:val="auto"/>
        </w:rPr>
      </w:pPr>
    </w:p>
    <w:p>
      <w:pPr>
        <w:ind w:left="820" w:hanging="326"/>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Adverse impact of multiple interest rate increases implemented and forecasted by the U.S. Federal Reserve.</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Any slowdown in the growth of these end markets, or the emergence of economic instability in these end markets, could harm our business. For example, a significant element of our growth strategy depends on the increasing adoption of vehicles with more sophisticated automated driving, which will likely require more complex SoCs. If anticipated demand in the end market for these vehicles does not materialize, whether due to consumer demand not materializing, regulatory interventions delaying the deployment of automated driving, or the emergence of economic instability in end markets arising from factors such as inflationary trends, deteriorating purchasing power, trade or supply chain disruptions and regional and/or worldwide chip shortages or excess supply, demand fluctuations, unemployment spikes, labor shortages or end market reactions to regional or global geopolitical uncertainties or conflicts, or other factors beyond our control, it would adversely affect demand for our products from customers and royalty revenue and impact our ability to execute our growth strategy.</w:t>
      </w:r>
    </w:p>
    <w:p>
      <w:pPr>
        <w:spacing w:after="0" w:line="127"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i w:val="1"/>
          <w:iCs w:val="1"/>
          <w:color w:val="auto"/>
        </w:rPr>
        <w:t>Political and regulatory conditions that contribute to uncertainty and market volatility including legislative, regulatory, trade and policy changes associated with the new U.S. presidential administration could materially and adversely impact our business operations and financial results.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political and economic environment in the U.S. has resulted in and will continue to result in some uncertainty. Changing regulatory policies associated with the new U.S. presidential administration can affect regulatory and compliance costs and future revenues, all of which could materially and adversely affect our business operations and financial results. Changes in federal policy by the executive branch and regulatory agencies and personnel may occur over time under the new U.S. presidential administration or Congress, which could lead to changes in the level of oversight and focus on our industry including new laws, regulations and policies. At this time, it is unclear what laws, regulations and policies may change and whether future changes or uncertainty surrounding future changes will adversely affect our operating environment and therefore our business operations and financial results. Any future changes in federal and state laws and regulations, as well as the interpretation and implementation of any laws and regulations, could affect us in substantial and unpredictable ways. For example, the new U.S. presidential administration may affect the manner in which the final regulations implementing the Executive Order 14105 (the Final Rule) issued by the U.S. Department of Treasury on October 28, 2024, is interpreted and enforced by the U.S. government.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market acceptance of third-party semiconductor IP.</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semiconductor IP industry is a relatively small and emerging industry. Our future growth will depend on the level of market acceptance of our third-party licensable IP model, the variety of IP offerings available on the market and the shift in customer preference away from in-house development of semiconductor IP technologies and SIA. Furthermore, the third-party licensable IP model is highly dependent on the market adoption of new services and products, including in the automotive market, enterprise computing market, communications market, consumer electronics market, and industrial market. Such market adoption is important because the increased cost associated with ownership and maintenance of the more complex architectures in SoCs needed for the advanced services and products and time to market pressures on our customers may motivate companies to license third-party IP rather than design them in-house.</w:t>
      </w:r>
    </w:p>
    <w:p>
      <w:pPr>
        <w:spacing w:after="0" w:line="12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trends that would enable our growth are largely beyond our control. Semiconductor customers also may choose to adopt a multi -chip, off-the-shelf chip solution versus licensing or using highly integrated chipsets that embed our technologies or use our deployment software. If these market shifts do not materialize or third-party semiconductor IP does not achieve market acceptance, our business could be harmed.</w:t>
      </w:r>
    </w:p>
    <w:p>
      <w:pPr>
        <w:spacing w:after="0" w:line="11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success of our business depends on sustaining or growing our licensing revenue, and the failure to achieve such revenue would lead to a material decline in our results of operations.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revenue consists largely of technology license fees and other fees and royalties paid for access to our patented technologies, existing technology and other development and support services we provide to our customers. Our ability to secure and renew the licenses from which our revenue is derived depends on our customers adopting our technology and using it in the products they sell. Once secured, royalty revenue may be negatively affected by factors within and outside our control, including reductions in our customers’ sales prices, sales volumes, our failure to timely complete engineering deliverables and the customers’ negotiated contract terms.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our customer acquisition cycle for new licenses and license renewals for existing licensees can be lengthy, typically between two to nine months, and can also be costly and unpredictable. Given the length of the sales cycle, we may incur costs in any particular financial period before any associated revenue stream begins, if at all. We cannot provide any assurance that we will be successful in signing new license agreements or renewing existing license agreements on equal or favorable terms or at all. If we do not achieve our revenue goals, our results of operations could decline.</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nature of the design win process requires us to incur significant expenses without any guarantee that research and development and sales efforts will generate revenue, which could adversely affect our financial results.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focus on winning competitive bid selection processes, called “design wins,” to incorporate our IP interconnect and other solutions in our customers’ products. These lengthy technical and commercial selection processes may require us to incur significant expenditures and dedicate valued engineering resources to the development or enhancement of our IP interconnect and other solutions without any assurance that our bids will be selected as the design wins. If we incur such expenditures and fail to be selected in the bid selection process, our operating and financial results may be adversely affected. Further, because of the significant costs associated with qualifying new suppliers, customers are likely to use the same or an enhanced version of semiconductor IP from existing suppliers across a number of similar and successor products for a lengthy period of time. As a result, if we fail to secure an initial design win for any of IP interconnect and other solutions to any particular customer, we may lose the opportunity to make future sales of those solutions to that customer for a significant period of time, or at all, and we may experience an associated decline in revenue relating to those products. Because we expect the ASPs of our products may decline over time, we consider design wins to be critical to our future success and anticipate that for our newer products, we are and will remain highly dependent on revenue from newer design wins. Failure to achieve initial design wins may also weaken our position in future competitive selection processes because we may not be perceived as an industry leader.</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harm our business.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125"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harm our business.</w:t>
      </w:r>
    </w:p>
    <w:p>
      <w:pPr>
        <w:spacing w:after="0" w:line="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Even if we succeed in securing design wins for our IP interconnect and other solutions and our SIA solutions, we may not generate timely or sufficient margins or margins from those wins and our financial results could suffer.</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After incurring significant design and development expenditures and dedicating engineering resources to achieve a single initial design win for an IP interconnect or other solution, a substantial period of time generally elapses before we generate meaningful revenue from royalties relating to such solution, if at all. The reasons for this delay include, among other things, the following:</w:t>
      </w:r>
    </w:p>
    <w:p>
      <w:pPr>
        <w:spacing w:after="0" w:line="133"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Changing customer requirements, resulting in an extended development cycle for the product.</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 in the ramp-up of volume production of the customer’s products into which our solutions are designed.</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 or cancellation of the customer’s product development plans.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Market or competitive pressures to reduce the selling price of the customer’s end-product.</w:t>
      </w:r>
    </w:p>
    <w:p>
      <w:pPr>
        <w:spacing w:after="0" w:line="169" w:lineRule="exact"/>
        <w:rPr>
          <w:rFonts w:ascii="Arial" w:cs="Arial" w:eastAsia="Arial" w:hAnsi="Arial"/>
          <w:sz w:val="17"/>
          <w:szCs w:val="17"/>
          <w:color w:val="auto"/>
        </w:rPr>
      </w:pPr>
    </w:p>
    <w:p>
      <w:pPr>
        <w:ind w:left="820" w:hanging="326"/>
        <w:spacing w:after="0" w:line="301" w:lineRule="auto"/>
        <w:tabs>
          <w:tab w:leader="none" w:pos="8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discovery of design flaws, defects, errors or bugs in the products, whether or not those defects, errors or bugs are related to our IP interconnect and other solutions that delay the customer from finishing the product in which our IP solution is incorporated.</w:t>
      </w:r>
    </w:p>
    <w:p>
      <w:pPr>
        <w:spacing w:after="0" w:line="90" w:lineRule="exact"/>
        <w:rPr>
          <w:rFonts w:ascii="Arial" w:cs="Arial" w:eastAsia="Arial" w:hAnsi="Arial"/>
          <w:sz w:val="17"/>
          <w:szCs w:val="17"/>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Lower than expected acceptance of the customers’ end-products.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Moreover, as noted above, even if a customer selects our IP interconnect and other solutions, we cannot guarantee that this will result in any royalty or future licensing revenue, as the customer may ultimately change or cancel its product plans, or the customer’s efforts to market and sell its product may not be successful.</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continually pursue new IP interconnect, SoC integration automation, and other technology initiatives, and if we fail to successfully carry out these initiatives, our business could be harmed.</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part of the evolution of our business, we have made substantial investments to develop IP interconnect, SoC integration automation solutions, other technology initiatives, and enhancements to existing technologies we license through our acquisitions and research and development efforts. Continuing to meet the requirements of smaller die size, lower power consumption, a higher frequency of operation and management of critical net latency in a timely and cost-effective manner for chips used in the automotive market, enterprise computing market, communications market, consumer electronics market, and industrial market have resulted in increased SoC design complexity for chips used in these markets. If we are unable to meet these demands for increased SoC design complexity, if we are unable to anticipate technological changes in our industry by introducing new or enhanced IP interconnect and other solutions and/or SIA solutions in a timely and cost-effective manner, or if we fail to introduce new technologies that meet market demand, we may lose our competitive position, our products may become obsolete, and our business could be harmed.</w:t>
      </w:r>
    </w:p>
    <w:p>
      <w:pPr>
        <w:spacing w:after="0" w:line="12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Moreover, new technologies and products may not be profitable, and even if they are profitable, operating margins for new products and businesses may not be as high as the margins we have experienced historically or originally anticipated.</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Additionally, from time to time, we invest in expansion into adjacent markets, including the acquisition of Magillem and Semifore, and our growth into the IP interconnect and SIA solutions market. Although we believe these solutions are complementary to our IP interconnect solutions, we have a more limited operating history in offering software that, among other things, manages register configurations of IP blocks, assembles multiple IP blocks into SoC platforms and links design parameters and metadata to documentation, and our ongoing efforts in this area may not be successful. Our success in these product areas depend on a variety of factors, including the following:</w:t>
      </w:r>
    </w:p>
    <w:p>
      <w:pPr>
        <w:spacing w:after="0" w:line="125"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continue to attract new customers in industries in which we have less experience.</w:t>
      </w:r>
    </w:p>
    <w:p>
      <w:pPr>
        <w:spacing w:after="0" w:line="182" w:lineRule="exact"/>
        <w:rPr>
          <w:rFonts w:ascii="Arial" w:cs="Arial" w:eastAsia="Arial" w:hAnsi="Arial"/>
          <w:sz w:val="17"/>
          <w:szCs w:val="17"/>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successful development of sales and marketing strategies that meet customer requirements.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accurately predict, prepare for, and promptly respond to technological developments in existing and new fields.</w:t>
      </w:r>
    </w:p>
    <w:p>
      <w:pPr>
        <w:spacing w:after="0" w:line="169"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compete with new and existing competitors, many of which may have more financial resources, industry experience, brand recognition, relevant intellectual property rights, and/or more established customer relationships than we currently do, and they could include free and open-source solutions that provide similar SIA solutions.</w:t>
      </w:r>
    </w:p>
    <w:p>
      <w:pPr>
        <w:spacing w:after="0" w:line="133" w:lineRule="exact"/>
        <w:rPr>
          <w:rFonts w:ascii="Arial" w:cs="Arial" w:eastAsia="Arial" w:hAnsi="Arial"/>
          <w:sz w:val="17"/>
          <w:szCs w:val="17"/>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continually balance our investment in adjacent markets with investment in our existing products and services.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attract and retain employees with expertise in new or emerging fields affecting our business.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Difficulties in any of our new product development efforts or our efforts to enter adjacent markets, including delays or disruptions due to factors outside of our control such as any adverse impact resulting from changing macroeconomic and geopolitical environments, market and inflationary pressures, export and trade controls, and pandemics, could harm our business.</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 fundamental shift in technologies, the regulatory climate or demand patterns and preferences in our existing product markets or the product markets of our customers or end-users could make our current products obsolete, prevent or delay the introduction of new products or enhancements to our existing products or render our products irrelevant to our customers’ needs. If our new product development efforts fail to align with the needs of our customers, including due to circumstances outside of our control like a fundamental shift in the product markets of our customers and end users or regulatory changes, our business could be harmed.</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Further, we design our IP interconnect solutions to function optimally with various industry-standard core IP transaction protocols including AMBA, ACE, CHI and AXI. Should developers limit access to their IP protocol information or cease cooperation with us for any reason, our ability to support certain processors and IP protocols would be delayed, which could harm our business.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have to invest more resources in research and development than anticipated, which could increase our operating expenses and negatively affect our operating results.</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currently devote substantial resources to the research and development of new and enhanced interconnect IP and SIA solutions. However, we may be required to devote more resources than anticipated to address design requirements for specific target markets, new competitors, technological advances in the semiconductor industry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be significant and increase in the foreseeable future as our technology development efforts continue, and there can be no guarantee that our research and development investments will result in products that create additional revenue.</w:t>
      </w:r>
    </w:p>
    <w:p>
      <w:pPr>
        <w:spacing w:after="0" w:line="124"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We may also decide to increase our research and development investment to seize customer or market opportunities, which could negatively impact our financial results.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We expect that we will continue to experience hiring challenges, including for engineering resources.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errors or defects could expose us to liability and harm our reputation and we could lose market share.</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Software products frequently contain errors or defects, especially when first introduced, when new versions are released, or when integrated with technologies developed by acquired companies. Product errors, including those resulting from third-party suppliers, could negatively affect the performance or interoperability of our IP interconnect and SIA solutions, could delay the development or release of new solutions or new versions and could adversely affect market acceptance or perception of our technology. In addition, any allegations of manufacturability issues resulting from use of our IP interconnect and other solutions or semiconductor design efficiency issues resulting from our SIA solutions could, even if untrue, adversely affect our reputation and our customers’ willingness to license our technology.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harm our business and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offer high-quality support, our reputation could suffer.</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Interconnect IP and SIA technology is complex, and our customer support is critical for the successful deployment of our IP in our customers’ designs, and we maintain a team of corporate and field application engineers in our global support organization. High-quality support is important for customer retention, and the importance of our support function will increase as we expand our business and pursue new customers. If we do not help our customers quickly resolve issues and provide effective ongoing support, our ability to maintain and expand our offerings to existing and new customers could suffer, and our reputation with existing or potential customers could suffer.</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dependence on international customers and operations also subjects us to a range of other additional regulatory, operational, financial, and political risks that could adversely affect our financial results.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derived 62.3% and 65.4% of our revenue for the years ended December 31, 2024, and 2023, respectively, from sales to customers outside of the United States. In particular, we derived 29.2% and 31.1% of our revenue for the years ended December 31, 2024, and 2023, respectively, from customers located in China. We expect our revenue from China to decrease due to the applicable U.S. government trade restrictions. As a result, the economic, political, legal and social conditions in China could harm our business. In addition, we have offices globally with our sales and research and development being conducted in offices located in the San Francisco Bay Area, Texas, France, Poland, China, South Korea, and Japan. Moreover, conducting business outside the United States subjects us to a number of additional risks and challenges, including:</w:t>
      </w:r>
    </w:p>
    <w:p>
      <w:pPr>
        <w:spacing w:after="0" w:line="138"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a specific country’s or region’s political, regulatory or economic conditions.</w:t>
      </w:r>
    </w:p>
    <w:p>
      <w:pPr>
        <w:spacing w:after="0" w:line="169"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Imposition of significant new export control regulations targeting the Chinese semiconductor industry and technical support of the Chinese semiconductor industry, tariffs and other barriers, restrictions and regional stability measures, including as between U.S.-China.</w:t>
      </w:r>
    </w:p>
    <w:p>
      <w:pPr>
        <w:spacing w:after="0" w:line="104"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pandemic, epidemic or other outbreak of an infectious disease, which may cause us or our distributors, vendors and/or customers to temporarily suspend our or their respective operations in the affected city or country or completely.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820" w:hanging="326"/>
        <w:spacing w:after="0" w:line="266" w:lineRule="auto"/>
        <w:tabs>
          <w:tab w:leader="none" w:pos="829"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Compliance with a wide variety of domestic and foreign laws and regulations (including those of municipalities or provinces where we have operations) and unexpected changes in those laws, export and trade controls, and regulatory requirements, including uncertainties regarding taxes, social insurance contributions and other payroll taxes and fees to governmental entities, tariffs, quotas, export controls, export licenses and other trade barriers.</w:t>
      </w:r>
    </w:p>
    <w:p>
      <w:pPr>
        <w:spacing w:after="0" w:line="118" w:lineRule="exact"/>
        <w:rPr>
          <w:rFonts w:ascii="Arial" w:cs="Arial" w:eastAsia="Arial" w:hAnsi="Arial"/>
          <w:sz w:val="17"/>
          <w:szCs w:val="17"/>
          <w:color w:val="auto"/>
        </w:rPr>
      </w:pPr>
    </w:p>
    <w:p>
      <w:pPr>
        <w:ind w:left="820" w:right="20" w:hanging="326"/>
        <w:spacing w:after="0" w:line="284" w:lineRule="auto"/>
        <w:tabs>
          <w:tab w:leader="none" w:pos="829"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Unanticipated restrictions on our ability to sell to foreign customers where sales of products and the provision of services may require export licenses or are prohibited by government action, unfavorable foreign exchange controls and currency exchange rates.</w:t>
      </w:r>
    </w:p>
    <w:p>
      <w:pPr>
        <w:spacing w:after="0" w:line="104"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 for substantial penalties and litigation related to violations of a wide variety of laws, treaties and regulations, including labor regulations, export control and anti-corruption regulations (including the U.S. Foreign Corrupt Practices Act and the U.K. Bribery Act).</w:t>
      </w:r>
    </w:p>
    <w:p>
      <w:pPr>
        <w:spacing w:after="0" w:line="117"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Difficulties and costs of staffing and managing international operations across different geographic areas, time zones and cultures.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diplomatic and trade relationships and uncertainties around political elections create an unpredictable business environment.</w:t>
      </w:r>
    </w:p>
    <w:p>
      <w:pPr>
        <w:spacing w:after="0" w:line="169" w:lineRule="exact"/>
        <w:rPr>
          <w:rFonts w:ascii="Arial" w:cs="Arial" w:eastAsia="Arial" w:hAnsi="Arial"/>
          <w:sz w:val="17"/>
          <w:szCs w:val="17"/>
          <w:color w:val="auto"/>
        </w:rPr>
      </w:pPr>
    </w:p>
    <w:p>
      <w:pPr>
        <w:ind w:left="820" w:right="20" w:hanging="326"/>
        <w:spacing w:after="0" w:line="284" w:lineRule="auto"/>
        <w:tabs>
          <w:tab w:leader="none" w:pos="829"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 political, legal and economic instability, armed conflict, and civil unrest in the countries in which we and our customers are located.</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Difficulty and costs of maintaining effective data security.</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Inadequate protection of our intellectual property.</w:t>
      </w:r>
    </w:p>
    <w:p>
      <w:pPr>
        <w:spacing w:after="0" w:line="182"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Nationalization and expropriation.</w:t>
      </w:r>
    </w:p>
    <w:p>
      <w:pPr>
        <w:spacing w:after="0" w:line="169" w:lineRule="exact"/>
        <w:rPr>
          <w:rFonts w:ascii="Arial" w:cs="Arial" w:eastAsia="Arial" w:hAnsi="Arial"/>
          <w:sz w:val="17"/>
          <w:szCs w:val="17"/>
          <w:color w:val="auto"/>
        </w:rPr>
      </w:pPr>
    </w:p>
    <w:p>
      <w:pPr>
        <w:ind w:left="820" w:hanging="326"/>
        <w:spacing w:after="0" w:line="284" w:lineRule="auto"/>
        <w:tabs>
          <w:tab w:leader="none" w:pos="856"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Restrictions on the transfer of funds to and from foreign countries, including withholding taxes and other potentially negative tax consequences.</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Unfavorable and/or changing foreign tax treaties and policies.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Increased exposure to general market and economic conditions inside and outside of the United States.</w:t>
      </w:r>
    </w:p>
    <w:p>
      <w:pPr>
        <w:spacing w:after="0" w:line="182" w:lineRule="exact"/>
        <w:rPr>
          <w:rFonts w:ascii="Arial" w:cs="Arial" w:eastAsia="Arial" w:hAnsi="Arial"/>
          <w:sz w:val="17"/>
          <w:szCs w:val="17"/>
          <w:color w:val="auto"/>
        </w:rPr>
      </w:pPr>
    </w:p>
    <w:p>
      <w:pPr>
        <w:ind w:left="820" w:right="20" w:hanging="326"/>
        <w:spacing w:after="0" w:line="284" w:lineRule="auto"/>
        <w:tabs>
          <w:tab w:leader="none" w:pos="8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Currency exchange rate fluctuations and the resulting effect on our revenue and expenses, and the cost and risk of entering into hedging transactions if we choose to do so in the future.</w:t>
      </w:r>
    </w:p>
    <w:p>
      <w:pPr>
        <w:spacing w:after="0" w:line="104" w:lineRule="exact"/>
        <w:rPr>
          <w:rFonts w:ascii="Arial" w:cs="Arial" w:eastAsia="Arial" w:hAnsi="Arial"/>
          <w:sz w:val="17"/>
          <w:szCs w:val="17"/>
          <w:color w:val="auto"/>
        </w:rPr>
      </w:pPr>
    </w:p>
    <w:p>
      <w:pPr>
        <w:ind w:left="820" w:right="20" w:hanging="326"/>
        <w:spacing w:after="0" w:line="284" w:lineRule="auto"/>
        <w:tabs>
          <w:tab w:leader="none" w:pos="8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Increased regulatory uncertainties with respect to our wholly foreign-owned enterprise operating in China and any joint ventures we may form or contribute IP or other resources to in the future.</w:t>
      </w:r>
    </w:p>
    <w:p>
      <w:pPr>
        <w:spacing w:after="0" w:line="104"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Trends such as global and regional inflation, supply shortages and supply chain disruptions, geopolitical conflicts and retaliatory actions and regulations affecting or relating to regions such as but not limited to Ukraine, Russia, Eastern Europe, Israel and the Middle East, or in the Greater China region, may lead to the deterioration of our immediate customers’ and/or end market customers’ ability and/or willingness to purchase, use, develop, market or sell products or solutions that incorporate or are made while using our products.</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These factors, individually or in combination, could impair our ability to effectively operate one or more of our foreign facilities or deliver our semiconductor IP or SIA solutions, result in unexpected and material expenses, or cause an unexpected decline in the demand for our products in certain countries or regions. Our failure to manage the risks and challenges associated with our international business and operations could harm our business.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Downturns or volatility in general economic conditions, including as a result of geopolitical and macroeconomic conditions in the countries in which we conduct business, could harm our business.</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revenue, gross margin, and ability to achieve and maintain profitability depend significantly on general economic conditions and the demand for products in the markets in which our customers compete. Weaknesses in the global economy and financial markets and any adverse changes in general domestic and global economic conditions that may occur in the future, including any recession, economic slowdown or disruption of credit markets, may lead to, lower demand for products that incorporate our solutions, including in the automotive market, enterprise computing market, communications market, consumer electronics market, and industrial market. A decline in end-user demand can affect our customers’ demand for our products, the ability of our customers to obtain credit and otherwise meet their payment obligations and the likelihood of customers canceling or deferring existing orders. Our business could be harmed by such actions.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Because we conduct business, have offices in and derive revenue from customers in China, our business performance may be affected by increased political tensions and changes in China’s political, social and economic environment. For example, political instability resulting from changes in the relationship between the United States and China could negatively impact our business. Any significant armed conflict related to this matter is expected to materially and adversely damage our business. Moreover, the role of the Chinese government in the Chinese economy is significant. Chinese policies toward economic liberalization, and laws and policies affecting technology companies, foreign investment, currency exchange rates, taxes and other matters could change, resulting in greater restrictions on our ability and our suppliers’ ability to do business and operate facilities in China. If any of these changes were to occur, our business could be harmed, and our stock price could decline.</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Furthermore, the U.S. and Chinese governments may continue to enact changes in government trade policies, including the imposition of additional tariffs, that could adversely impact our ability to sell products in China. For example, the U.S. government has imposed tariffs on certain Chinese imports and, in return, the Chinese government has imposed or proposed tariffs on certain U.S. products. The progress and continuation of trade negotiations between the U.S. and China continues to be uncertain and a further escalation of the trade war remains a possibility. We cannot predict what actions may ultimately be taken with respect to tariffs or trade relations between the U.S. and China, what products may be subject to such actions, or what actions may be taken by China in response. It also may not be possible to anticipate the timing or duration of such tariffs, export restrictions, or other regulatory actions. These government trade policies may materially adversely affect our business and impede our ability to develop relationships with new customers in China.</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Any disruption in the credit markets could also impede our access to capital. If we have limited access to additional financing sources, we may be required to defer capital expenditure or seek other sources of liquidity, which may not be available to us on acceptable terms or at all. All of these factors related to global economic conditions, which are beyond our control, could harm our business.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1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The cyclical nature of the semiconductor industry, including significant supply chain disruption, may limit our ability to maintain or improve our revenue.</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semiconductor industry is highly cyclical and is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semiconductor demand. We have experienced downturns in the past and may experience such downturns in the future. For example, the industry experienced a significant downturn in connection with the most recent global recession in 2008, and experienced further downturns in 2020 and 2022, which was prolonged as a result of the economic impact of the COVID-19 pandemic. These downturns have been characterized by diminished product demand, production overcapacity, high inventory levels and accelerated erosion of average selling prices. In the past several years, downturns in the semiconductor industry have been attributed to a variety of factors, including the COVID-19 pandemic, ongoing trade disputes among the United States and China, weakness in demand and pricing for semiconductors across applications and excess inventory.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Economic downturns have directly impacted our business, as has been the case with many other companies, suppliers, distributors and customers in the semiconductor industry and other industries around the world, and any prolonged or significant future downturns in the semiconductor industry could harm our business. Conversely, significant upturns may suppress customer shipments of royalty-bearing products incorporating our IP solutions due to our customers having limited access to third-party foundry and assembly capacity. In the event of such an upturn, we may not be able to expand our workforce and operations in a sufficiently timely manner, procure adequate resources, or locate suitable third-party suppliers or other third-party subcontractors to respond effectively to changes in demand for our existing products or to the demand for new products requested by our customers, and our business could be harmed.</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semiconductor industry has also faced significant global supply chain issues as a result of the impact both on demand for devices to enable wireless connectivity and remote environments and on supply from the related imposition of government restrictions on staffing and facility operations due to the COVID-19 pandemic as well as other trends such as the increasing demand for semiconductors in automobiles and artificial intelligence, which together have resulted in the inability of fabrication plants to produce sufficient quantities of chips to meet demand, supply chain shortages and other disruptions. Numerous factors, including any further trade tensions between the U.S. and China, such as the revisions to the U.S. regulations governing the export of certain semiconductor related hardware and software to China announced by BIS on October 7, 2022 and subsequently further amended, and any geopolitical changes in China-Taiwan relations may prolong or deepen these challenges faced by the industry.</w:t>
      </w:r>
    </w:p>
    <w:p>
      <w:pPr>
        <w:spacing w:after="0" w:line="3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revenue has been concentrated among a small number of licensees and customers, and if we lose any of these customers and fail to replace them, our revenue may decrease substantially.</w:t>
      </w:r>
    </w:p>
    <w:p>
      <w:pPr>
        <w:spacing w:after="0" w:line="8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 significant amount of our revenue is derived from a limited number of customers. We expect that a relatively small number of customers will continue to account for a substantial portion of our revenue for the foreseeable future.</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a result of this revenue concentration, our results of operations could be adversely affected by the decision of a single key licensee or customer to cease using our technology or products or by a decline in the number of products that incorporate our technology that are sold by a single licensee or customer or by a small group of licensees or customers. We must continue to obtain new significant licensees and to increase our revenue and grow our business.</w:t>
      </w:r>
    </w:p>
    <w:p>
      <w:pPr>
        <w:spacing w:after="0" w:line="1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Failure to effectively expand our sales and marketing capabilities could harm our ability to increase our customer base and achieve broader market acceptance of our products.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ability to increase our customer base and achieve broader market acceptance of our products and platform capabilities will depend to a significant extent on our ability to expand our global sales and application engineering organization. We plan to continue expanding our sales force, both domestically and internationally. We also plan to dedicate significant resources to sales and marketing programs. All of these efforts will require us to invest significant financial and other resources. Our business will be harmed if our sales and marketing efforts do not generate significant increases in revenue or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2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typically experience a strong seasonality in sales in the fourth calendar quarter of the year. As a result, our results of operations are subject to substantial quarterly fluctuations, which may seriously harm our business.</w:t>
      </w:r>
    </w:p>
    <w:p>
      <w:pPr>
        <w:spacing w:after="0" w:line="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have experienced, and expect to continue to experience, seasonal fluctuations in sales due to the spending patterns of semiconductor customers who license our products. Typically, the number of total new license agreements we enter into has generally been lowest in the first and second calendar quarters. We expect these seasonality trends to continue.</w:t>
      </w:r>
    </w:p>
    <w:p>
      <w:pPr>
        <w:spacing w:after="0" w:line="11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Substantial portions of our sales are made, and we anticipate will be made, to automotive, enterprise computing, communications, consumer electronics, and industrial suppliers. Any downturn in any of these markets could significantly harm our business.</w:t>
      </w:r>
    </w:p>
    <w:p>
      <w:pPr>
        <w:spacing w:after="0" w:line="85"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Each of these sectors is subject to specific market risks. The consumer sector, for example, is subject to changes in end consumer spending patterns, technology developments and general economic conditions.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also exposed to the risks associated with the automotive market. For example, our anticipated future growth is highly dependent on the adoption of autonomous driving technologies, which are expected to have increased sensor and power product content. The reported downturn in the automotive market could delay automakers’ plans to introduce new vehicles with these features, which would negatively impact the demand for our products and our ability to grow our business.</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Several industries in which companies incorporate our technology, including the automotive industry and others, may undergo consolidation and reorganization and, in some cases, their suppliers may or have entered bankruptcy. Although we have not experienced any lost business or material bad debt write-offs as a result of such consolidation, such trends could harm our business.</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Moreover, the automotive industry is affected by general economic, trade and geopolitical conditions and associated responses by governments of various countries, the automotive industry, including manufacturers, dealers, distributors, and third-party suppliers may be adversely impacted. In addition, government-imposed restrictions on businesses, operations and travel and the related economic uncertainty have impacted demand in many global markets. While demand in the automotive industry is dependent on a number of factors, any adverse effects on the automotive industry could harm our business, as well as our ability to execute our growth strategy.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significant portion of our revenue comes from licensing fees, which may vary period to period.</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License agreements for our interconnect IP are generally treated as ratable revenue, with revenue being recognized evenly over the license term. In recent periods we have made and will continue to make certain changes to SIA agreements that result in ratable recognition of the related license revenue over the contract term. Still, significant portions of our anticipated future revenue depend upon our success in attracting new customers, or continuing or expanding our relationships with existing customers, and revenue recognized from licensing arrangements varies from period to period, depending on the number and size of deals closed during a quarter, and is difficult to predict. In addition, as we expand our business into new markets, our licensing deals may be smaller in volume but greater in value in volume, which may further fluctuate our licensing revenue quarter to quarter. Our ability to succeed in our licensing efforts will depend on a variety of factors, including the market positioning, performance, delivery, quality, breadth and depth of our current and future IP interconnect and other solutions as well as our sales and marketing skills. Our failure to obtain future licensing customers would impede our future revenue growth and could materially harm our business.</w:t>
      </w:r>
    </w:p>
    <w:p>
      <w:pPr>
        <w:spacing w:after="0" w:line="12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Royalty rates could decrease for existing and future license agreements, which could materially adversely affect our operating results.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Royalty payments to us under existing and future license agreements could be lower than currently anticipated for a variety of reasons. Average selling prices for semiconductor products generally decrease over time during the lifespan of a product. Our gross margins and financial results will suffer if we are unable to offset reductions in our average selling prices by reducing our costs, developing new or enhanced products or solutions on a timely basis with higher selling prices or gross margins, or increasing our sales volumes. In addition, there is significant pressure to maintain low royalty rates in certain markets where the end product may have a low average sales price, such as many consumer electronics products. In addition, there is increasing downward pricing pressures in the semiconductor industry on end products incorporating our technology, especially end products for consumer electronics markets. As a result, notwithstanding the existence of a license agreement, our customers may demand that royalty rates for our products on future or renewal agreements be lower than our historic royalty rates. Furthermore, our competitors may lower the royalty rates for their comparable products to win market share which may force us to lower our royalty rates on future or renewal agreements as well. As a consequence of the above referenced factors, as well as unforeseen factors in the future, the royalty rates we receive for the use of our technology could decrease with new or renewed customers, thereby decreasing future anticipated revenue and cash flow. Variable royalty revenue was 7.6% of our revenue for the year ended December 31, 2024. Therefore, a significant decrease in our royalty revenue could materially adversely affect our operating results.</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Moreover, royalty rates may be negatively affected by macroeconomic and geopolitical trends, including from global semiconductor supply chain issues (including from shortages in the availability of the supply of chips in several semiconductor sectors and applications), and its world effects and changes in products mix. Furthermore, consolidation among our customers may increase the leverage of our existing customers to extract concessions from us in royalty rates.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Changing currency exchange rates could harm our business.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operations and assets in the U.S. as well as foreign jurisdictions, and we prepare our consolidated financial statements in U.S. dollars, but a portion of our earnings and expenditures are denominated in other currencies. We therefore must translate our foreign assets, liabilities, revenue and expenses into U.S. dollars at applicable exchange rates. Consequently, fluctuations in the value of foreign currencies relative to the U.S. dollar may negatively affect the value of these items in our financial statements.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Furthermore, currency exchange rates have been especially volatile in the recent past, and these currency fluctuations may make it difficult for us to predict our results of operations. If the volume of our international operations increases and foreign currency exchange rates changes, the impact to our consolidated statements of operations could be significant and may affect the comparability of operating results. The impact from foreign currency exchange for the year ended December 31, 2024, was immaterial. We do not believe a 10% increase or decrease in foreign exchange rates would have resulted in a material impact to our operating results. To the extent we fail to manage our foreign currency exposure adequately, we may suffer losses in the value of our net foreign currency investment, and our business may be harmed.</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particular, in light of the military conflict between Russia and Ukraine, the conflict in Israel, and the tensions between the European Union, other European countries, as well as the United States, with Russia, any resulting material change to the valuation of the Euro or other currency relative to the U.S. dollar could adversely impact our operating results.</w:t>
      </w:r>
    </w:p>
    <w:p>
      <w:pPr>
        <w:spacing w:after="0" w:line="12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have made acquisitions and, in the future, expect to pursue acquisitions of and investments in new businesses, products or technologies, joint ventures and other strategic transactions that involve numerous risks and could disrupt and harm our business.</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part of our business strategy, we make acquisitions of and investments in new businesses, such as our acquisitions of Magillem and Semifore, Inc., products and technologies and enter into joint ventures and other strategic relationships in the ordinary course. Our ability to grow our revenue,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in the past, which could adversely impact our growth rate and the trading price of our common stock. Promising acquisitions and investments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 timely basis and on acceptable terms. In addition, competition for acquisitions and investment may result in higher purchase prices. Changes in accounting or regulatory requirements or instability in the credit markets could also adversely impact our ability to consummate acquisitions and investments on acceptable terms or at all.</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even if we are able to consummate acquisitions and enter into joint ventures and other strategic relationships, these transactions and relationships present a number of potential risks and challenges that could, if not met, disrupt our business operations, increase our operating costs, negatively affect our growth rate and the trading price of our common stock, and may harm our business. In addition, our Magillem and Semifore, Inc. acquisitions along with our Transchip investment as well as any acquisition, investment, joint venture or other strategic transaction that we may enter into in the future, involve a number of additional financial, accounting, managerial, operational, legal, regulatory and other risks, which may include, among others:</w:t>
      </w:r>
    </w:p>
    <w:p>
      <w:pPr>
        <w:spacing w:after="0" w:line="138" w:lineRule="exact"/>
        <w:rPr>
          <w:sz w:val="20"/>
          <w:szCs w:val="20"/>
          <w:color w:val="auto"/>
        </w:rPr>
      </w:pPr>
    </w:p>
    <w:p>
      <w:pPr>
        <w:ind w:left="820" w:hanging="326"/>
        <w:spacing w:after="0" w:line="284" w:lineRule="auto"/>
        <w:tabs>
          <w:tab w:leader="none" w:pos="8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business, technology, service or product that we acquire or invest in could under-perform relative to our expectations and the price that we paid or not perform in accordance with our anticipated timetable, or we could fail to operate any such business profitably.</w:t>
      </w:r>
    </w:p>
    <w:p>
      <w:pPr>
        <w:spacing w:after="0" w:line="104"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incur or assume significant debt in connection with our acquisitions, joint ventures and other strategic relationships, which could also cause a deterioration of our credit ratings, result in increased borrowing costs and interest expense and diminish our future access to the capital markets. Alternatively, we may issue additional equity securities, which could dilute your ownership and voting power.</w:t>
      </w:r>
    </w:p>
    <w:p>
      <w:pPr>
        <w:spacing w:after="0" w:line="133" w:lineRule="exact"/>
        <w:rPr>
          <w:rFonts w:ascii="Arial" w:cs="Arial" w:eastAsia="Arial" w:hAnsi="Arial"/>
          <w:sz w:val="17"/>
          <w:szCs w:val="17"/>
          <w:color w:val="auto"/>
        </w:rPr>
      </w:pPr>
    </w:p>
    <w:p>
      <w:pPr>
        <w:ind w:left="820" w:hanging="326"/>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expect to incur integration and startup costs.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820" w:hanging="326"/>
        <w:spacing w:after="0" w:line="266" w:lineRule="auto"/>
        <w:tabs>
          <w:tab w:leader="none" w:pos="829"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Acquisitions, joint ventures and other strategic relationships could cause our financial results to differ from our own or the investment community’s expectations in any given period, or over the long-term challenges associated with integrating employees from the acquired company into our organization.</w:t>
      </w:r>
    </w:p>
    <w:p>
      <w:pPr>
        <w:spacing w:after="0" w:line="133" w:lineRule="exact"/>
        <w:rPr>
          <w:rFonts w:ascii="Arial" w:cs="Arial" w:eastAsia="Arial" w:hAnsi="Arial"/>
          <w:sz w:val="17"/>
          <w:szCs w:val="17"/>
          <w:color w:val="auto"/>
        </w:rPr>
      </w:pPr>
    </w:p>
    <w:p>
      <w:pPr>
        <w:ind w:left="820" w:hanging="326"/>
        <w:spacing w:after="0" w:line="284" w:lineRule="auto"/>
        <w:tabs>
          <w:tab w:leader="none" w:pos="842"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Pre-closing and post-closing earnings charges could adversely impact operating results in any given period, and the impact may be substantially different from period to period.</w:t>
      </w:r>
    </w:p>
    <w:p>
      <w:pPr>
        <w:spacing w:after="0" w:line="104" w:lineRule="exact"/>
        <w:rPr>
          <w:rFonts w:ascii="Arial" w:cs="Arial" w:eastAsia="Arial" w:hAnsi="Arial"/>
          <w:sz w:val="17"/>
          <w:szCs w:val="17"/>
          <w:color w:val="auto"/>
        </w:rPr>
      </w:pPr>
    </w:p>
    <w:p>
      <w:pPr>
        <w:ind w:left="820" w:hanging="326"/>
        <w:spacing w:after="0" w:line="284" w:lineRule="auto"/>
        <w:tabs>
          <w:tab w:leader="none" w:pos="842"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Acquisitions, joint ventures and other strategic relationships could create demands on our management, operational resources and financial and internal control systems that we are unable to effectively address.</w:t>
      </w:r>
    </w:p>
    <w:p>
      <w:pPr>
        <w:spacing w:after="0" w:line="104" w:lineRule="exact"/>
        <w:rPr>
          <w:rFonts w:ascii="Arial" w:cs="Arial" w:eastAsia="Arial" w:hAnsi="Arial"/>
          <w:sz w:val="17"/>
          <w:szCs w:val="17"/>
          <w:color w:val="auto"/>
        </w:rPr>
      </w:pPr>
    </w:p>
    <w:p>
      <w:pPr>
        <w:ind w:left="820" w:hanging="326"/>
        <w:spacing w:after="0" w:line="301" w:lineRule="auto"/>
        <w:tabs>
          <w:tab w:leader="none" w:pos="842"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could experience difficulty in integrating personnel, operations and financial and other controls and systems and retaining key employees and customers.</w:t>
      </w:r>
    </w:p>
    <w:p>
      <w:pPr>
        <w:spacing w:after="0" w:line="90"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be unable to achieve cost savings or other synergies anticipated in connection with an acquisition, joint venture or other strategic relationship.</w:t>
      </w:r>
    </w:p>
    <w:p>
      <w:pPr>
        <w:spacing w:after="0" w:line="104" w:lineRule="exact"/>
        <w:rPr>
          <w:rFonts w:ascii="Arial" w:cs="Arial" w:eastAsia="Arial" w:hAnsi="Arial"/>
          <w:sz w:val="17"/>
          <w:szCs w:val="17"/>
          <w:color w:val="auto"/>
        </w:rPr>
      </w:pPr>
    </w:p>
    <w:p>
      <w:pPr>
        <w:jc w:val="both"/>
        <w:ind w:left="820" w:hanging="326"/>
        <w:spacing w:after="0" w:line="266" w:lineRule="auto"/>
        <w:tabs>
          <w:tab w:leader="none" w:pos="869"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spacing w:after="0" w:line="118" w:lineRule="exact"/>
        <w:rPr>
          <w:rFonts w:ascii="Arial" w:cs="Arial" w:eastAsia="Arial" w:hAnsi="Arial"/>
          <w:sz w:val="17"/>
          <w:szCs w:val="17"/>
          <w:color w:val="auto"/>
        </w:rPr>
      </w:pPr>
    </w:p>
    <w:p>
      <w:pPr>
        <w:ind w:left="820" w:hanging="326"/>
        <w:spacing w:after="0" w:line="284" w:lineRule="auto"/>
        <w:tabs>
          <w:tab w:leader="none" w:pos="842"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connection with acquisitions and joint ventures, we often enter into post-closing financial arrangements such as purchase price adjustments, earn-out obligations and indemnification obligations, which may have unpredictable financial results.</w:t>
      </w:r>
    </w:p>
    <w:p>
      <w:pPr>
        <w:spacing w:after="0" w:line="104" w:lineRule="exact"/>
        <w:rPr>
          <w:rFonts w:ascii="Arial" w:cs="Arial" w:eastAsia="Arial" w:hAnsi="Arial"/>
          <w:sz w:val="17"/>
          <w:szCs w:val="17"/>
          <w:color w:val="auto"/>
        </w:rPr>
      </w:pPr>
    </w:p>
    <w:p>
      <w:pPr>
        <w:jc w:val="both"/>
        <w:ind w:left="820" w:hanging="326"/>
        <w:spacing w:after="0" w:line="286" w:lineRule="auto"/>
        <w:tabs>
          <w:tab w:leader="none" w:pos="8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 a result of our acquisitions, we have recorded significant goodwill and other assets on our consolidated balance sheet and if we are not able to realize the value of these assets, or if the fair value of our investments declines, we may be required to incur impairment charges.</w:t>
      </w:r>
    </w:p>
    <w:p>
      <w:pPr>
        <w:spacing w:after="0" w:line="317" w:lineRule="exact"/>
        <w:rPr>
          <w:rFonts w:ascii="Arial" w:cs="Arial" w:eastAsia="Arial" w:hAnsi="Arial"/>
          <w:sz w:val="17"/>
          <w:szCs w:val="17"/>
          <w:color w:val="auto"/>
        </w:rPr>
      </w:pPr>
    </w:p>
    <w:p>
      <w:pPr>
        <w:jc w:val="both"/>
        <w:ind w:left="820" w:hanging="326"/>
        <w:spacing w:after="0" w:line="260" w:lineRule="auto"/>
        <w:tabs>
          <w:tab w:leader="none" w:pos="8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have interests that diverge from or are adverse to those of our joint venture partners or other strategic partners, expose our IP and intellectual property rights to misappropriation or other licensing risks, and we may not be able to direct the management and operations of the joint venture or other strategic relationship in the manner we believe is most appropriate, exposing us to additional legal, financial, or technical risk.</w:t>
      </w:r>
    </w:p>
    <w:p>
      <w:pPr>
        <w:spacing w:after="0" w:line="138" w:lineRule="exact"/>
        <w:rPr>
          <w:rFonts w:ascii="Arial" w:cs="Arial" w:eastAsia="Arial" w:hAnsi="Arial"/>
          <w:sz w:val="17"/>
          <w:szCs w:val="17"/>
          <w:color w:val="auto"/>
        </w:rPr>
      </w:pPr>
    </w:p>
    <w:p>
      <w:pPr>
        <w:jc w:val="both"/>
        <w:ind w:left="820" w:hanging="326"/>
        <w:spacing w:after="0" w:line="266" w:lineRule="auto"/>
        <w:tabs>
          <w:tab w:leader="none" w:pos="842"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Furthermore, potential acquisitions, investments, divestitures, joint ventures, expansions or divestitures, and other strategic transactions, whether or not consummated, may divert our management’s attention and require considerable cash outlays at the expense of our existing operations. This, and any of the risks set forth above, could harm our business.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raise capital in the future may be limited and could prevent us from executing our growth strategy.</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ability to operate and expand our business depends on the availability of adequate capital, which in turn depends on the cash flow generated by our business and equity or other applicable financing arrangements. We believe that our existing cash and cash equivalents, short-term investments and cash provided by sales of our products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spacing w:after="0" w:line="141"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market acceptance of our semiconductor IP and other solutions, and our SIA solutions;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need to adapt to changing technologies and technical requirements;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existence of opportunities for expansion; and</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access to and availability of sufficient management, technical, marketing and financial personnel.</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We have not made arrangements to obtain additional financing and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To continue to grow and to meet our ongoing obligations as a public company,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or effectively motivate and manage our new and future employees, it could harm our business.</w:t>
      </w:r>
    </w:p>
    <w:p>
      <w:pPr>
        <w:spacing w:after="0" w:line="128"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i w:val="1"/>
          <w:iCs w:val="1"/>
          <w:color w:val="auto"/>
        </w:rPr>
        <w:t>We depend on key and highly skilled personnel to operate our business, and if we are unable to retain our current personnel and hire additional personnel, our ability to develop and market our products could be harmed, which in turn could adversely affect our financial results.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success depends to a large extent upon the continued services of our executive officers, managers and skilled personnel, including our development engineers. In particular, we are highly dependent on the services of K. Charles Janac, our President, Chief Executive Officer and Chairman, who has been critical in the development and growth of our business and strategic direction, and we do not have key person insurance. From time to time, there may be changes in our executive management team or other key personnel, which could disrupt our business. Generally, our employees are not bound by obligations that require them to continue to work for us for any specified period and, therefore, they could terminate their employment with us at any time. Moreover, our employees are generally not subject to non-competition agreements. Given these limitations, we may not be able to continue to attract, retain and motivate qualified personnel necessary for our business.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addition, we recruit from a limited pool of engineers with expertise in SoC design and the competition for such personnel can be intense. The loss of one or more of our executive officers or other key personnel, the loss of access to certain jurisdictions in the event of geopolitical conflict or changes in regulatory frameworks, or our inability to locate suitable or qualified replacements could be significantly detrimental to our product development efforts and could harm our business. We may experience disruptions in our research and development efforts resulting from the inability to hire qualified engineers globally including from the Middle East due to the Israel conflict and escalating conflicts and tensions with Iran. 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U.S. are impacted by laws and regulations, as well as by procedures and enforcement practices of various government agencies. Changes in immigration laws, regulations or procedures may adversely affect our ability to hire or retain such workers, increase our operating expenses and negatively impact our ability to deliver our products and services, any of which would harm our business.</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Volatility in, or lack of performance of, our stock price may also affect our ability to attract and retain key personnel. Employees may be more likely to terminate their employment with us if the shares they own or the shares underlying their vested options or restricted stock units have significantly depreciated or otherwise expressed volatility in value relative to the original purchase prices of the shares or the exercise prices of the options, or, conversely, if the exercise prices of the options that they hold are significantly above the trading price of our common stock. If we are unable to retain our employees, our business could be harmed.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team has limited experience managing a public company.</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Many members of our management team have limited experience managing a publicly traded company, interacting with public company investors and complying with the increasingly complex laws pertaining to public companies. Our management team may not successfully or efficiently manage us as a public company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Catastrophic events may disrupt our business.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corporate headquarters are located in an area that is an active earthquake zone. In the event of a major earthquake, hurricane or other forms of catastrophic event such as fire, power loss, telecommunications failure, cyber-attack, war, terrorist attack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If our counterparties are unable to fulfill their financial and other obligations to us, our business and results of operations may be affected adversely.</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Any downturn in economic conditions, geopolitical events or other business factors could threaten the financial health of our counterparties, including companies with which we have entered into licensing agreements, and their ability to fulfill their financial and other obligations to us. Such financial pressures on our counterparties may eventually lead to bankruptcy proceedings or other attempts to avoid financial obligations that are due to us. Because bankruptcy courts have the power to modify or cancel contracts of the petitioner which remain subject to future performance and alter or discharge payment obligations related to pre-petition debts, we may receive less than all of the payments that we would otherwise be entitled to receive from any such counterparty as a result of bankruptcy proceedings.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 Information Technology and Data Security and Privacy</w:t>
      </w:r>
    </w:p>
    <w:p>
      <w:pPr>
        <w:spacing w:after="0" w:line="169"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If we are unable to protect our proprietary technology and inventions through patents and other intellectual property rights, our ability to compete successfully and our financial results could be adversely impacted.</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seek to protect our proprietary technology and innovations, particularly those relating to the design of our products, through patents, trade secrets and other intellectual property rights. As of December 31, 2024, we had 214 total allowed or issued patents, pending patent applications and non-expired provisional patent applications worldwide. Of these, we had 94 allowed or issued patents, 78 are U.S. allowed or issued patents, 10 are allowed or issued China patents, three are South Korea issued patents, one is a U.K. issued patent, one is a Europe issued patent, and one is a Japan issued patent. The 94 allowed or issued patents generally expire between July 2035 and July 2042. As of December 31, 2024, we had 120 pending non-provisional and provisional patent application filings, including 39 in the United States, 30 in Europe, 24 in China, 14 in South Korea and 13 in Japan. Maintenance of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Additionally, it is difficult to predict the impact of generative artificial intelligence (AI) on our intellectual property rights risk portfolio and costly to monitor the use of our intellectual property. It may be the case that our intellectual property is already being infringed, and infringement may occur in the future without our knowledge. Litigation may be necessary to enforce our intellectual property rights. While it is our policy to protect and defend our rights to our IP, we cannot predict whether steps taken by us to enforce and protect our intellectual property rights will be adequate to prevent infringement, misappropriation, or other violations of our intellectual property rights. Any inability to meaningfully enforce our intellectual property rights could harm our ability to compete. Moreover, 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Any litigation of this nature, regardless of outcome or merit, could materially harm our business and hurt our competitive advantage.</w:t>
      </w:r>
    </w:p>
    <w:p>
      <w:pPr>
        <w:spacing w:after="0" w:line="12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If we are unable to protect our proprietary technology and inventions through trade secrets, our competitive position and financial results could be adversely affected.</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noted above, we seek to protect our proprietary technology and innovations, particularly those relating to our products, as patents, trade secrets and other forms of intellectual property. Additionally, while software and other forms of our proprietary works may be protected under copyright law, in some cases we have chosen not to register any copyrights in these works, and instead, primarily rely on protecting our software as a trade secret. In the United States, trade secrets are protected under the federal Economic Espionage Act of 1996 and the Defend Trade Secrets Act of 2016 (the Defend Trade Secrets Act), and under state law, with many states having adopted the Uniform Trade Secrets Act (the UTSA) and several of which that have not. In addition to these federal and state laws inside the United States, under the World Trade Organization’s Trade Related-Aspects of IP Rights Agreement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present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industry is generally subject to a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ability to compete successfully depends in part on our ability to commercialize our IP solutions without infringing the patent, trade secret or other intellectual property rights of others.</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To the same extent that we seek to protect our technology and inventions with patents, trade secrets and other intellectual property rights, our competitors and other third parties do the same for their technology and inventions. We have no means of knowing the content of patent applications filed by third parties until they are published. It is also difficult and costly to continuously monitor the intellectual property portfolios of our competitors to ensure our technologies do not violate the intellectual property rights of any third parties.</w:t>
      </w:r>
    </w:p>
    <w:p>
      <w:pPr>
        <w:spacing w:after="0" w:line="119"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Claims by other companies that we infringe their intellectual property rights or that patents on which we rely are invalid could adversely affect our business.</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semiconductor industry is rife with patent assertion entities and is characterized by frequent litigation regarding patent and other intellectual property rights. From time to time, we receive communications from or are sued by third parties that allege that our products or technologies infringe their patent or other intellectual property rights. As a public company with an increased profile and visibility, we may receive similar communications in the future. Lawsuits or other proceedings resulting from allegations of infringement could subject us to significant liability for damages, invalidate our proprietary rights and harm our business. We may not prevail in lawsuits alleging patent infringement given the complex technical issues and inherent uncertainties in intellectual property litigation. If any of our products, technologies or services from which we derive or expect to derive a substantial portion of our revenues, were found to infringe on another company’s intellectual property rights, we could be subject to damages, an injunction and/or other equitable relief that would force the removal of such product from the market or we could be required to redesign such product, or take a license to the third-party technology, which could be costly. We could also be ordered to pay damages or other compensation, including punitive damages and attorneys’ fees to such other company. A negative outcome in any such litigation could also severely disrupt the sales of our marketed products to our customers or their customers, which in turn could harm our relationships with our customers, our market share and our product revenues. Even if we are ultimately successful in defending any intellectual property litigation, such litigation is expensive and time consuming, will divert our management’s attention from our business and may harm our reputation.</w:t>
      </w:r>
    </w:p>
    <w:p>
      <w:pPr>
        <w:spacing w:after="0" w:line="132"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In the event that any third-party succeeds in asserting a valid claim against us or any of our customers, we could be forced to do one or more of the following:</w:t>
      </w:r>
    </w:p>
    <w:p>
      <w:pPr>
        <w:spacing w:after="0" w:line="104" w:lineRule="exact"/>
        <w:rPr>
          <w:sz w:val="20"/>
          <w:szCs w:val="20"/>
          <w:color w:val="auto"/>
        </w:rPr>
      </w:pPr>
    </w:p>
    <w:p>
      <w:pPr>
        <w:ind w:left="820" w:hanging="326"/>
        <w:spacing w:after="0" w:line="301" w:lineRule="auto"/>
        <w:tabs>
          <w:tab w:leader="none" w:pos="815" w:val="left"/>
        </w:tabs>
        <w:numPr>
          <w:ilvl w:val="0"/>
          <w:numId w:val="25"/>
        </w:numPr>
        <w:rPr>
          <w:rFonts w:ascii="Arial" w:cs="Arial" w:eastAsia="Arial" w:hAnsi="Arial"/>
          <w:sz w:val="17"/>
          <w:szCs w:val="17"/>
          <w:i w:val="1"/>
          <w:iCs w:val="1"/>
          <w:color w:val="auto"/>
        </w:rPr>
      </w:pPr>
      <w:r>
        <w:rPr>
          <w:rFonts w:ascii="Arial" w:cs="Arial" w:eastAsia="Arial" w:hAnsi="Arial"/>
          <w:sz w:val="17"/>
          <w:szCs w:val="17"/>
          <w:color w:val="auto"/>
        </w:rPr>
        <w:t>discontinue selling access to certain technologies that contain the allegedly infringing intellectual property which would result in a decline in our revenue and could result in breach of contract claim by our affected customers and damage to our reputation;</w:t>
      </w:r>
    </w:p>
    <w:p>
      <w:pPr>
        <w:spacing w:after="0" w:line="90" w:lineRule="exact"/>
        <w:rPr>
          <w:rFonts w:ascii="Arial" w:cs="Arial" w:eastAsia="Arial" w:hAnsi="Arial"/>
          <w:sz w:val="17"/>
          <w:szCs w:val="17"/>
          <w:i w:val="1"/>
          <w:iCs w:val="1"/>
          <w:color w:val="auto"/>
        </w:rPr>
      </w:pPr>
    </w:p>
    <w:p>
      <w:pPr>
        <w:ind w:left="820" w:hanging="326"/>
        <w:spacing w:after="0"/>
        <w:tabs>
          <w:tab w:leader="none" w:pos="820" w:val="left"/>
        </w:tabs>
        <w:numPr>
          <w:ilvl w:val="0"/>
          <w:numId w:val="25"/>
        </w:numPr>
        <w:rPr>
          <w:rFonts w:ascii="Arial" w:cs="Arial" w:eastAsia="Arial" w:hAnsi="Arial"/>
          <w:sz w:val="17"/>
          <w:szCs w:val="17"/>
          <w:i w:val="1"/>
          <w:iCs w:val="1"/>
          <w:color w:val="auto"/>
        </w:rPr>
      </w:pPr>
      <w:r>
        <w:rPr>
          <w:rFonts w:ascii="Arial" w:cs="Arial" w:eastAsia="Arial" w:hAnsi="Arial"/>
          <w:sz w:val="17"/>
          <w:szCs w:val="17"/>
          <w:color w:val="auto"/>
        </w:rPr>
        <w:t>stop receiving payment from a customer that can no longer sell the end-product if it contains allegedly infringing intellectual property;</w:t>
      </w:r>
    </w:p>
    <w:p>
      <w:pPr>
        <w:spacing w:after="0" w:line="169" w:lineRule="exact"/>
        <w:rPr>
          <w:rFonts w:ascii="Arial" w:cs="Arial" w:eastAsia="Arial" w:hAnsi="Arial"/>
          <w:sz w:val="17"/>
          <w:szCs w:val="17"/>
          <w:i w:val="1"/>
          <w:iCs w:val="1"/>
          <w:color w:val="auto"/>
        </w:rPr>
      </w:pPr>
    </w:p>
    <w:p>
      <w:pPr>
        <w:ind w:left="820" w:hanging="326"/>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seek to develop non-infringing technologies, which may not be feasible;</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incur significant legal expenses;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5"/>
        </w:numPr>
        <w:rPr>
          <w:rFonts w:ascii="Arial" w:cs="Arial" w:eastAsia="Arial" w:hAnsi="Arial"/>
          <w:sz w:val="17"/>
          <w:szCs w:val="17"/>
          <w:i w:val="1"/>
          <w:iCs w:val="1"/>
          <w:color w:val="auto"/>
        </w:rPr>
      </w:pPr>
      <w:r>
        <w:rPr>
          <w:rFonts w:ascii="Arial" w:cs="Arial" w:eastAsia="Arial" w:hAnsi="Arial"/>
          <w:sz w:val="17"/>
          <w:szCs w:val="17"/>
          <w:color w:val="auto"/>
        </w:rPr>
        <w:t>pay substantial monetary damages to the party whose intellectual property rights we may be found to be infringing; and/or</w:t>
      </w:r>
    </w:p>
    <w:p>
      <w:pPr>
        <w:spacing w:after="0" w:line="169" w:lineRule="exact"/>
        <w:rPr>
          <w:rFonts w:ascii="Arial" w:cs="Arial" w:eastAsia="Arial" w:hAnsi="Arial"/>
          <w:sz w:val="17"/>
          <w:szCs w:val="17"/>
          <w:i w:val="1"/>
          <w:iCs w:val="1"/>
          <w:color w:val="auto"/>
        </w:rPr>
      </w:pPr>
    </w:p>
    <w:p>
      <w:pPr>
        <w:ind w:left="820" w:hanging="326"/>
        <w:spacing w:after="0" w:line="301" w:lineRule="auto"/>
        <w:tabs>
          <w:tab w:leader="none" w:pos="8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or our customers could be required to seek licenses to the infringed technology that may not be available on commercially reasonable terms, if at all.</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a third-party causes us to discontinue the use of any of our technologies, we could be required to design around those technologies. This could be costly and time-consuming and could have an adverse impact on our financial results. Any significant impairments of our intellectual property rights from any litigation we face could harm our business and our ability to compete in our industry.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may not be able to continue to obtain licenses to third-party software and intellectual property on reasonable terms or at all, which may disrupt our business and harm our financial results.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license third-party software and other intellectual property for use in product research and development and, in several instances, for inclusion in our products such as our license with Qualcomm for FlexNoC. We also license third-party software, including the software of our competitors, to test the interoperability of our products with other industry products and in connection with our professional services. Our third-party licenses typically limit our use of IP to specific uses and for specific time periods and include other contractual obligations with which we must comply. Moreover, certain intellectual property rights may be licensed to us on a non-exclusive basis, and accordingly, the owners of such intellectual property rights are free to license such rights to third parties, including our competitors, on terms that may be superior to those offered to us, which could place us at a competitive disadvantage. These licenses may need to be renegotiated or renewed from time to time, or we may need to obtain new licenses in the future. For example, we may be required to renegotiate or seek a waiver to or consent under our license with Qualcomm with respect to our FlexNoC product in the event of certain changes of control (as defined in our agreements with Qualcomm) and there can be no guarantee we would be successful in such endeavor. Such provision could prevent us from pursuing a robust sales process in the event of a sale of the company if Qualcomm refuses to provide consent or waive such change in control provision. In such an event, a change in control could cause us to lose our license with Qualcomm and our valuation could be adversely affected. See “Business—Material Agreement—Qualcomm Agreements” in this Annual Report on Form 10-K, for additional information. Third parties may stop adequately supporting or maintaining their technology, or they or their technology may be acquired by our competitors. If we are unable to obtain licenses to these third-party software and intellectual property rights on reasonable terms or at all, we may not be able to sell or support the affected products, our customers’ use of the products may be interrupted, and/or our product development processes and professional services offerings may be disrupted, which could in turn harm our financial results, our customers, and our reputation. Further, if we or our third-party licensors were to breach any material term of a license, such a breach could, among other things, prompt costly litigation, result in the license being terminated or result in fines and other damages. If any of the following were to occur, it could harm our business and our reputation.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also cannot be certain that our licensors are not infringing the intellectual property rights of others or that our licensors have sufficient rights to the intellectual property to grant us the applicable licenses. Although we seek to mitigate this risk contractually, we may not be able to sufficiently limit our potential liability. If we are unable to obtain or maintain rights to any of this intellectual property because of intellectual property rights infringement claims brought by third parties against our licensors or against us, our ability to develop, maintain and support our products and technology incorporating that intellectual property could be severely limited and our business could be harmed. Furthermore, regardless of outcome, infringement claims may require us to use significant resources and may divert management’s attention.</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Some of our products and technology, including those we acquire, may include software licensed under open-source licenses. Use and distribution of open-source software, where applicable, may entail greater risks than use of third-party commercial software, as open-source licensors generally do not provide support, warranties, indemnification, or other contractual protections regarding infringement claims or the quality of the code. To the extent that our technology may in the future depend upon the successful operation of open-source software, any undetected errors or defects in this open-source software could prevent the deployment or impair the functionality of such technologies and injure our reputation.</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Moreover, some open-source software licenses require users who distribute that open-source software as part of their proprietary software to publicly disclose all or part of the source code to such software and make available any derivative works or modifications of the open-source code on unfavorable terms or at no cost. If we were to combine our proprietary software with such open-source software in a certain manner, we could, under certain circumstances, be required to comply with such license terms. Although we have tools and processes to monitor and restrict our use of open-source software, the risks associated with open-source usage cannot be eliminated and may, if not properly addressed, result in unanticipated obligations that could harm our business.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Any dispute regarding our intellectual property may require us to indemnify certain customers, the cost of which could severely harm our business.</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any potential dispute involving our patents or other intellectual property, our customers could also become the target of litigation. Some of our agreements, including those with key customers like Texas Instruments Incorporated and Samsung Electronics Co., Ltd., have historically provided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for our operations.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or no royalty payments.</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Cybersecurity threats continue to increase in frequency and sophistication; a successful cybersecurity attack or prolonged outage regardless of cause could interrupt or disrupt our information technology systems, or those of our third-party service providers, or cause the loss of availability of confidential or protected data which could disrupt our business, force us to incur excessive costs or cause reputational harm.</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Security breaches, computer malware, prolonged outages,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external service providers, vendors, or from attacks by malicious third parties. Such attacks are increasing in their frequency, levels of persistence, levels of sophistication and intensity, and are being conducted by sophisticated and organized groups and individuals with a wide range of motives and expertise. As a result of our reliance on internet technology and the number of our employees who are working remotely, this may create additional opportunities for cybercriminals to exploit vulnerabilities.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phishing,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invested in measures for the protection of data and information technology, there can be no assurance that our efforts will prevent or quickly identify service interruptions or security breaches. The techniques used by cybercriminals to obtain unauthorized access to systems or sabotage systems, or to disable or degrade services, change frequently, and may not be recognized when launched against a target and can originate from a wide variety of sources, including outside groups such as organized crime affiliates, terrorist organizations or hostile foreign governments or agencies. We cannot assure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or intellectual property, and could result in financial, legal, business and reputational harm to us.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Data security breaches could also expose us to liability under various laws and regulations across jurisdictions and increase the risk of litigation and governmental or regulatory investigation. For example, the California Consumer Privacy Act of 2018 as amended by the California Privacy Rights Act, collectively the CCPA, includes a private right of action for security breaches that could lead to some form of remedy, as well as, regulatory scrutiny, fines, private right of action settlements, and other consequences. Where a security incident involves a breach of security leading to the accidental or unlawful destruction, loss, alternation, unauthorized disclosure of, or access to, personal data in respect of which we are a controller or processor under the GDPR or U.K. GDPR (as defined below), this could result in fines of up to €20.0 million or 4% of annual global turnover under the GDPR or £17.5 million and 4% of total annual revenue in the case of the U.K. GDPR. 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security of such data are possible. We may be required to notify such breaches to regulators and/or individuals which may result in us incurring additional costs. Moreover, any such compromise of our information security or that of our third parties could result in the misappropriation or unauthorized publication or other exploitation of our confidential business or proprietary information or personal information or that of other parties with which we do business, an interruption in our operations, the unauthorized transfer of cash or other 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could expose us to liability to customer claims. Any of the foregoing could irreparably damage our reputation and business, could have a material adverse effect on our results of operations, and cause us to incur significant costs, including legal expenses and remediation costs.</w:t>
      </w:r>
    </w:p>
    <w:p>
      <w:pPr>
        <w:spacing w:after="0" w:line="14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maintain cyber liability and business interruption insurance renewed annually; however, this insurance may not be sufficient to cover the financial, legal, business or reputational losses that may result from an interruption or breach of our systems.</w:t>
      </w:r>
    </w:p>
    <w:p>
      <w:pPr>
        <w:spacing w:after="0" w:line="11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subject to data protection, privacy and security laws, regulations, standards and other requirements across different markets where we conduct our business. Our actual or perceived failure to comply with such obligations could harm our business.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global data protection landscape continues to evolve, and we are or may become subject to numerous state, federal and foreign laws, regulations, legal requirements, contractual obligations and industry standards regarding security, data protection and privacy and any actual or perceived failure to comply with these requirements, obligations or standards could harm our reputation and business. If we are found to have breached any such laws or regulations in any such jurisdiction, we may be subject to enforcement actions that require us to change our business practices in a manner which may negatively impact our revenue, as well as expose us to litigation, fines, civil and/or criminal penalties and adverse publicity that could cause our customers to lose trust in us, negatively impacting our reputation and business in a manner that harms our financial position. Implementation standards and enforcement practices continue to evolve,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part of our business, we collect personal data, and other potentially sensitive and/or regulated data from our customers. In the U.S., numerous federal and state laws and regulations, including data breach notification laws, data privacy and security laws, and consumer protection laws and regulations govern the collection, use, disclosure, protection and other processing of personal information. For example, the CCPA requires covered companies to, among other things, provide certain disclosures to California consumers about use of personal information, and affords such consumers privacy rights such as the ability to opt-out of certain sales of personal information and expanded rights to access and delete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The California Privacy Rights Act (CPRA) passed in California significantly amended the CCPA and imposed additional data protection obligations on covered businesses, including additional consumer rights, new cybersecurity audit requirements for businesses whose processing of personal information presents significant risk to consumer’s privacy or security, and opt outs for certain uses of sensitive personal information. As part of the CPRA, a new California Privacy Protection Agency is authorized to issue substantive regulations and could result in increased privacy and information security enforcement. The majority of the provisions went into effect on January 1, 2023, and additional compliance investment and potential business process changes may be required, including as the California Privacy Protection Agency continues to issue regulations. Further, several other states have passed state privacy laws. These state privacy laws may increase our compliance costs and potential liability, and could harm our business, including how we use personal information. A number of other proposals exist for new federal and state privacy legislation that, if passed, could increase our potential liability, increase our compliance costs and harm our business.</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operations abroad may also be subject to increased scrutiny or attention from data protection authorities. For example, the EU General Data Protection Regulation (EU GDPR) and the U.K. General Data Protection Regulation and the U.K. Data Protection Act 2018 (UK GDPR) (collectively, the GDPR) imposes comprehensive data privacy compliance obligations on our collection, processing, sharing, disclosure, transfer and other use of data relating to an identifiable living individual or “personal data”. The EU and U.K. regimes also include laws which, among other things, require European Economic Area (EEA) member states and the U.K. to regulate marketing by electronic means and the use of cookies and similar technologies. The GDPR has resulted in, and will continue to result in, significant compliance burdens and costs for companies with customers and/or operations in the EEA and the U.K. The GDPR, and national implementing legislation in each member state, imposes a data protection compliance regime including: (i) providing detailed disclosures about how personal data is collected and processed; (ii) demonstrating that an appropriate legal basis is in place or otherwise exists to justify data processing activities; (iii) granting certain rights for data subjects in regard to their personal data (including transparency, the right to be “forgotten,” right to data portability, right of access, and right to rectification); (iv) obligation to notify data protection regulators or supervisory authorities (and in certain cases, affected individuals) of data breaches; (v) imposing limitations on retention of personal data; (vi) maintaining a record of data processing; and (vii) complying with the principal of accountability and the obligation to demonstrate compliance through policies, procedures, training and audit. If our privacy or data security measures fail to comply with applicable current or future laws and regulations, we may be subject to litigation, regulatory investigations, and enforcement notices requiring us to change the way we use personal data or our marketing practices. For example, under the GDPR we may be subject to fines of up to €20 million / £17.5 million or up to 4% of the total worldwide annual group turnover of the preceding financial year (whichever is higher) for major violations.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reputational harm and a potential loss of business.</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are also subject to European Union rules with respect to cross-border transfers of personal data out of the EEA and the U.K.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In March 2022, the US and EU announced the EU-U.S. DPF after determining that the additional safeguards included in Executive Order 14086 signed by former President Biden on October 7, 2022, provide an adequate level of protection for personal data transferred from the European Union. The adequacy decision allows the EU-U.S. DPF to facilitate the transfer of data from Europe to the United States. We currently rely on the SCCs to transfer personal data outside the EEA and the U.K., including to the U.S. As supervisory authorities issue further guidance on personal data export mechanisms, we could suffer additional costs, complaints and/or regulatory investigations or fines.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Further, the exit of the U.K. from the EU, often referred to as Brexit, created uncertainty with regard to data protection regulation in the U.K.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European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spacing w:after="0" w:line="1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we are subject to evolving data privacy and security laws, rules and regulations in the PRC, particularly the Personal Information Protection Law (PIPL), Cybersecurity Law (CSL) and Data Security Law (DSL), along with their implementing regulations and standards. Consent from the data subject is required for any collection or processing of personal data, unless one of a limited number of exemptions applies. Notably, the PIPL, similar to the EU GDPR, applies extraterritorially in certain circumstances.</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PIPL, CSL and DSL also specify rules for transferring personal information and the sui-generis category of ‘important data’ out of the PRC. Compliance with security assessments, obtaining certifications of group privacy standards by designated agencies, or entering into standard contracts (in approved form) with overseas recipients (to be filed with a PRC government agency) are among the requirements for transfer of personal data. All businesses in China additionally require government approval to transfer any amount of ‘important data’ generated within the PRC overseas. (‘Important data’ is a special category of data regulated under the DSL that has a national security, economic security or public interest dimension to it, but which has yet to be extensively classified, leading to significant uncertainty as to the scope of application of this rule at the present time.) Chinese law also imposes restrictions on the disclosure of data to foreign judicial and law enforcement bodies, and the extent and modalities of the application of this rule remain highly uncertain.</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to the CSL, the DSL and the PIPL, the relevant government authorities of the PRC have promulgated various regulations, draft regulations, guidelines and standards at both the national and provincial levels that are designed to provide further implemental guidance in accordance with the laws mentioned above. These laws and regulations continue to evolve, with an unpredictable impact on our operations in the PRC and related compliance costs. In addition, these laws and regulations are drafted broadly and thus leave significant discretion to the relevant PRC authorities, increasing the uncertainty about how they will be interpreted and enforced in practice.</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Although we make reasonable efforts to comply with all applicable data protection laws and regulations, our interpretations and such measures have been or may prove to be insufficient or incorrect. The effects of any applicable state, federal and international laws and regulations that are currently in effect or that may go into effect in the future, are significant and may require us to modify our data processing practices and policies and to incur substantial costs and potential liability in an effort to comply with such laws and regulations. Allegations of non-compliance, whether or not true, could be costly, time consuming, and cause reputational harm. In addition to government regulation, privacy advocates and industry groups may propose new and different self-regulatory standards. Because the interpretation and application of privacy and data protection laws continue to evolve, it is possible that these laws may be interpreted and applied in a manner that are inconsistent with one another or inconsistent with our existing data management practices or the features of our products and services. Any actual or perceived failure to comply with these and other data protection and privacy laws and regulations could result in regulatory scrutiny and increased exposure to the risk of litigation or the imposition of consent orders, resolution agreements, requirements to take particular actions with respect to training, policies or other activities, and civil and criminal penalties, including fines, which could harm our business. In addition, we or our third-party service providers could be required to fundamentally change our business activities and practices or modify our products and services, which could harm our business. Any of the foregoing could result in additional cost and liability to us, damage our reputation, inhibit sales, and harm our business.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Regulatory, Accounting and Tax Matters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comply with the large body of laws and regulations to which we are subject could materially harm our business.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subject to regulation by various governmental agencies in the United States and other jurisdictions in which we operate. These laws and regulations (and the government agency responsible for their enforcement in the United States) cover: radio frequency emission regulatory activities (Federal Communications Commission); anti-trust regulatory activities (Federal Trade Commission and Department of Justice); consumer protection laws (Federal Trade Commission); import/export regulatory activities (Department of Commerce);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tax and other regulations by a variety of regulatory authorities in each of the areas in which we conduct business. In certain jurisdictions, regulatory requirements in one or more of these areas may be more stringent than in the United States.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the area of employment matters, we are subject to a variety of federal, state and foreign employment and labor laws and regulations, including the Americans with Disabilities Act, the Federal Fair Labor Standards Act, the WARN Act and other regulations related to working conditions, wage and hour pay, overtime pay, employee benefits, anti-discrimination, and termination of employment. We are subject to local employment statutes and regulations in other jurisdictions. Noncompliance with any of these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These enforcement actions could harm our reputation and business.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fees.</w:t>
      </w:r>
    </w:p>
    <w:p>
      <w:pPr>
        <w:spacing w:after="0" w:line="142"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Our failure to comply with the Foreign Corrupt Practices Act, other applicable anti-corruption and anti-bribery laws, and applicable anti-money laundering laws could subject us to penalties and other adverse consequences.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extensive international operations, and a substantial portion of our business is conducted outside of the United States. Our operations are subject to the U.S. Foreign Corrupt Practices Act of 1977, as amended (the FCPA), the U.S. domestic bribery statute contained in 18 U.S.C. § 201, the U.S. Travel Act, the USA PATRIOT Act, as well as the anti-corruption, anti-bribery, and anti-money laundering laws in the countries where we do business. Anti-corruption laws are interpreted broadly and prohibit companies and their employees and agents from promising, authorizing, making, or offering, soliciting, or accepting, directly or indirectly, improper payments or other benefits to or from any person whether in the public or private sector. The FCPA also requires publicly traded companies to maintain records that accurately and fairly represent their transactions, and to have an adequate system of internal accounting controls. As we increase our international sales and business, our risks under these laws may increase.</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Though we maintain policies, internal controls and other measures reasonably designed to promote compliance with applicable anti-corruption, anti-bribery laws, and anti-money laundering laws and regulations, our employees or agents may nevertheless engage in improper conduct for which we might be held responsible. Any violations of these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harm our business. In addition, our reputation, our revenue or our stock price could be adversely affected if we become the subject of any negative publicity related to actual or potential violations of any of these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are subject to government regulations, including import, export and economic sanctions laws and artificial intelligence regulations that may expose us to liability and increase our costs.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Certain of our products, including our IP interconnect and other solutions and technology are subject to U.S. export controls, including the U.S. Department of Commerce’s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harm our business.</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i w:val="1"/>
          <w:iCs w:val="1"/>
          <w:color w:val="auto"/>
        </w:rPr>
        <w:t>We will lose sales if we are unable to obtain government authorization to export certain of our products and services, and we will be subject to legal and regulatory consequences if we do not comply with applicable export control laws and regulations or if such laws and regulations were to change.</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Exports of certain of our IP interconnect and other solutions are subject to export controls imposed by the U.S. government and administered by the U.S. Departments of State and Commerce. In certain instances, these regulations may require pre-shipment authorization from the administering department. For products subject to the EAR, administered by BIS, the requirement for a license is dependent on the type and end use of the product, the final destination, the identity of the end user and whether a license exception might apply. Certain of our solutions are subject to EAR. Obtaining export licenses can be difficult, costly and time-consuming and we may not always be successful in obtaining necessary export licenses, and our failure to obtain required import or export approval for our products or limitations on our ability to export or sell our products imposed by these laws may harm our international and domestic revenue. Noncompliance with these laws could have negative consequences, including government investigations, penalties and reputational harm. The absence of comparable restrictions on competitors in other countries may adversely affect our competitive position.</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addition, in October 2022, October 2023 and April 2024, BIS modified certain of its regulations affecting the export of semiconductor products and equipment, with particular focus on export to China. In December 2024, BIS further expanded export controls on certain advanced semiconductors that can be used in advanced weapon systems and in AI and advanced computing products. We must continue to comply with such regulations and take additional review and precautions as required when such export regulations are updated or changed by the U.S. federal government.</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derive revenue from products that are not subject to the EAR from parties that are subject to the Entity List of the EAR (a list of entities to which the transfer of EAR-controlled technology or software requires a U.S. export license). Current and future business with these entities may be limited in scope or suspended entirely if regulations pertaining to such non-EAR products change, and our revenue could be adversely impacted. Regulatory changes concerning the export classification of our products, changes to the applicability of the EAR to certain product offerings, or the addition of new entities to the Entity List or other restricted party lists can further increase the scope of export restrictions applicable to our business. Failure to obtain export licenses for our products or having one or more of our customers be restricted from receiving exports from us could significantly reduce our revenue and harm our business.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U.S. federal government has increased its Entity List materially and expanded its regulatory scope with respect to semiconductors in recent years, which affects the range and number of customers, including Chinese customers available to license our products and technology. This raises an additional risk that China and/or other jurisdictions may enact retaliatory legislation or regulations that may raise similar adverse risks. As reflected in other Risk Factors, such risks may increase if additional Chinese entities are placed on the Entity List due, among other things, to their business with Russia in light of China’s stance and actions taken relating to Russia-Ukraine tensions and hostilities.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July 2021, we submitted a voluntary self-disclosure (VSD) to BIS, noting potential violations of the EAR. On April 28, 2022, the Office of Export Enforcement of BIS closed the matter with the issuance of a warning letter. In our VSD submission, we had identified discrete transactions with two customers, Bada and HiSilicon. We do not provide either customer with products or ongoing support. We have taken and continue to take remedial measures to help prevent similar situations from occurring in the future.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associated with doing business in China.</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For the year ended December 31, 2024, we derived 29.2% of our revenue from customers located in China. As a result, the economic, political, legal and social conditions in China could harm our business. In recent years, the Chinese economy has experienced periods of rapid expansion and high rates of inflation. These factors have led to the adoption by the Chinese government, from time to time, of various corrective measures designed to restrict the availability of credit or regulate growth and contain inflation.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or license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We have observed sustained reports of intellectual property theft and misappropriation in China.</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Some of the other risks related to doing business in China include:</w:t>
      </w:r>
    </w:p>
    <w:p>
      <w:pPr>
        <w:spacing w:after="0" w:line="169" w:lineRule="exact"/>
        <w:rPr>
          <w:sz w:val="20"/>
          <w:szCs w:val="20"/>
          <w:color w:val="auto"/>
        </w:rPr>
      </w:pPr>
    </w:p>
    <w:p>
      <w:pPr>
        <w:ind w:left="820" w:hanging="326"/>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Chinese government exerts substantial influence over the manner in which we must conduct our business activities.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Restrictions on currency exchange may limit our ability to receive, transfer and use our cash effectively.</w:t>
      </w:r>
    </w:p>
    <w:p>
      <w:pPr>
        <w:spacing w:after="0" w:line="182" w:lineRule="exact"/>
        <w:rPr>
          <w:rFonts w:ascii="Arial" w:cs="Arial" w:eastAsia="Arial" w:hAnsi="Arial"/>
          <w:sz w:val="17"/>
          <w:szCs w:val="17"/>
          <w:color w:val="auto"/>
        </w:rPr>
      </w:pPr>
    </w:p>
    <w:p>
      <w:pPr>
        <w:jc w:val="both"/>
        <w:ind w:left="820" w:hanging="326"/>
        <w:spacing w:after="0" w:line="249" w:lineRule="auto"/>
        <w:tabs>
          <w:tab w:leader="none" w:pos="815" w:val="left"/>
        </w:tabs>
        <w:numPr>
          <w:ilvl w:val="0"/>
          <w:numId w:val="26"/>
        </w:numPr>
        <w:rPr>
          <w:rFonts w:ascii="Arial" w:cs="Arial" w:eastAsia="Arial" w:hAnsi="Arial"/>
          <w:sz w:val="17"/>
          <w:szCs w:val="17"/>
          <w:i w:val="1"/>
          <w:iCs w:val="1"/>
          <w:color w:val="auto"/>
        </w:rPr>
      </w:pPr>
      <w:r>
        <w:rPr>
          <w:rFonts w:ascii="Arial" w:cs="Arial" w:eastAsia="Arial" w:hAnsi="Arial"/>
          <w:sz w:val="17"/>
          <w:szCs w:val="17"/>
          <w:color w:val="auto"/>
        </w:rPr>
        <w:t>Increased uncertainties related to the protection and enforcement of intellectual property rights, including risk of theft or misappropriation of our products and intellectual property in China, as well as any intellectual property rights that we may license to a Chinese (or other emerging jurisdiction) entity, including any joint ventures we may form.</w:t>
      </w:r>
    </w:p>
    <w:p>
      <w:pPr>
        <w:spacing w:after="0" w:line="120" w:lineRule="exact"/>
        <w:rPr>
          <w:rFonts w:ascii="Arial" w:cs="Arial" w:eastAsia="Arial" w:hAnsi="Arial"/>
          <w:sz w:val="17"/>
          <w:szCs w:val="17"/>
          <w:i w:val="1"/>
          <w:iCs w:val="1"/>
          <w:color w:val="auto"/>
        </w:rPr>
      </w:pPr>
    </w:p>
    <w:p>
      <w:pPr>
        <w:ind w:left="820" w:hanging="326"/>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Increased uncertainties relating to Chinese regulation of exports of products and technology to and from China.</w:t>
      </w:r>
    </w:p>
    <w:p>
      <w:pPr>
        <w:spacing w:after="0" w:line="169"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Increased and rapidly changing export and related trade regulations and restrictions imposed by U.S. and Chinese legislation, executive actions and regulations.</w:t>
      </w:r>
    </w:p>
    <w:p>
      <w:pPr>
        <w:spacing w:after="0" w:line="117"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Chinese government may favor its local businesses and make it more difficult for foreign businesses to operate in China on an equal footing or create generally difficult conditions for foreign headquartered businesses to operate.</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Increased uncertainties related to the enforcement of contracts with certain parties.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More restrictive rules on foreign investment could adversely affect our ability to expand our operations in China.</w:t>
      </w:r>
    </w:p>
    <w:p>
      <w:pPr>
        <w:spacing w:after="0" w:line="169" w:lineRule="exact"/>
        <w:rPr>
          <w:rFonts w:ascii="Arial" w:cs="Arial" w:eastAsia="Arial" w:hAnsi="Arial"/>
          <w:sz w:val="17"/>
          <w:szCs w:val="17"/>
          <w:color w:val="auto"/>
        </w:rPr>
      </w:pPr>
    </w:p>
    <w:p>
      <w:pPr>
        <w:ind w:left="820" w:right="20" w:hanging="326"/>
        <w:spacing w:after="0" w:line="301" w:lineRule="auto"/>
        <w:tabs>
          <w:tab w:leader="none" w:pos="8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Geopolitical tensions may lead to increased export sanctions against China and/or Chinese entities or U.S. companies operating in China or selling products or services into China.</w:t>
      </w:r>
    </w:p>
    <w:p>
      <w:pPr>
        <w:spacing w:after="0" w:line="90"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26"/>
        </w:numPr>
        <w:rPr>
          <w:rFonts w:ascii="Arial" w:cs="Arial" w:eastAsia="Arial" w:hAnsi="Arial"/>
          <w:sz w:val="17"/>
          <w:szCs w:val="17"/>
          <w:color w:val="auto"/>
        </w:rPr>
      </w:pPr>
      <w:r>
        <w:rPr>
          <w:rFonts w:ascii="Arial" w:cs="Arial" w:eastAsia="Arial" w:hAnsi="Arial"/>
          <w:sz w:val="17"/>
          <w:szCs w:val="17"/>
          <w:color w:val="auto"/>
        </w:rPr>
        <w:t>Geopolitical changes in China-Taiwan relations could disrupt our operations in China and Taiwan and the operations of companies in China and Taiwan that are our customers, each of which could materially and adversely affect our business and operating results.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Political instability, changes in government, elections, or destabilizing political developments in or around the major countries and jurisdictions in which we do business have created challenges and an adverse business environment which in turn has impacted our business and financial condition. Worldwide and regional geopolitical tensions and conflicts, including but not limited to China, Hong Kong, Israel, Korea and Taiwan where our customers are located, have resulted in changing regulatory requirements or other disruptions that have and could continue to impact our international operations and operating strategies, global product demand and sales, access to global markets, hiring, and profitability. If a disaster, war or catastrophic event affects our ability to work with customers in any of these countries, including China, our business could be harmed by a decline in sales, increased contract expense, and substantial time spent on alternative demand generation. As a result of our growing operations in China, these risks could harm our business.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Further, on June 3, 2021, former President Biden issued Executive Order 14032 (Addressing the Threat from Securities Investments that Finance Certain Companies of the People’s Republic of China) targeting entities that are deemed part of the Chinese military-industrial complex. Among other things, this executive order prohibits the purchase or sale of any publicly traded securities of a designated entity. We do not expect that this executive order will impact us; however, further government escalation of restrictions related to Chinese investors and dealings in securities could harm certain shareholders.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Additionally, on October 7, 2022, BIS issued export controls related to the Chinese semiconductor manufacturing, advanced computing, and supercomputer industries. These export controls impose broad end-use and other restrictions on facilities in China that develop or produce semiconductor chips or manufacturing equipment and may impact our ability to license or support our products to entities in or doing business with certain advanced AI or “supercomputer” design companies, foundries and manufacturers of assemblies and components in China. On October 17, 2023, BIS issued regulations amending the October 7, 2022, export controls governing the export of certain semiconductor-related hardware and software to China. On December 2, 2024, BIS further expanded export controls on certain advanced semiconductors that can be used in advanced weapon systems and in AI and advanced computing products. These restrictions and any subsequent restrictions, may have an adverse effect on our business, results of operations, or financial condition and we may no longer be able to license or support our products to certain companies in China. Furthermore, increased restrictions on China exports may lead to regulatory retaliation by the Chinese government and possibly further escalate geopolitical tensions, and any such scenarios may adversely impact our business. It is difficult to predict what further trade-related actions governments may take, whether the new U.S. presidential administration may impact such tensions, the extent to which we may be able to mitigate the effects of any trade-related actions, and the longer-term implications of trade-related actions on the market opportunities for us. The prospect of future export controls that are implemented in a similar manner may continue to have an ongoing impact on our business, results of operation, or financial conditions.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There have been additional regulatory mandates from the U.S. government that affect our current and future sales and operations in China. On October 28, 2024, the U.S. Department of Treasury issued the Final Rule targeted at certain types of investments in country of concern entities and related to certain sensitive technologies and products critical for military, intelligence, surveillance, or cyber-enabled technologies. The relevant U.S. person undertaking a transaction must determine whether a given transaction is prohibited, requires notification to the Treasury Department, or is not covered by the Final Rule as either an excepted transaction or not within the jurisdiction set forth under the Final Rule. The Final Rule identifies China as a country of concern. Transactions with a completion date of January 2, 2025, or later are subject to the Final Rule. As a result of the foregoing, we and our applicable subsidiaries may need to take appropriate steps to comply with the Final Rule and the cost of doing so, as well as any to comply, could have an adverse impact on our business. results of operation or financial condition.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We anticipate conducting certain of our operations through joint venture arrangements with Chinese entities. If the Chinese government determines that these arrangements do not comply with applicable regulations, our business could be adversely affected. If the PRC regulatory agencies determine that the agreements that establish the structure and relationship for our operations in China do not comply with PRC regulatory restrictions on foreign investment, we could be subject to severe penalties. In addition, changes in such Chinese laws and regulations may materially and adversely affect our business.</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There are uncertainties regarding the interpretation and application of PRC laws, rules and regulations, including, but not limited to, the laws, rules and regulations governing the validity and enforcement of the joint venture arrangement such as the one we are contemplating entering into with certain Chinese entities, including one of our shareholders who holds less than 5% of our outstanding common stock.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Although we believe, based on our understanding of the current PRC laws, rules and regulations, the structure for our current and contemplated operations based in China complies with all applicable PRC laws, rules and regulations and does not violate, breach, contravene or otherwise conflict with any applicable PRC laws, rules or regulations, we cannot assure you that the PRC regulatory authorities will not determine that such joint venture arrangements do not violate PRC laws, rules or regulations. If the PRC regulatory authorities determine that any joint ventures, we may enter into are in violation of applicable PRC laws, rules or regulations, such joint venture arrangements may become invalid or unenforceable, which will substantially affect our operations adversely.</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Chinese government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Chinese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 There can be no assurance that the U.S. government will refrain from imposing additional restrictions or constraints on dealings or investments in China, including our investment in Transchip or any future joint venture arrangements.</w:t>
      </w:r>
    </w:p>
    <w:p>
      <w:pPr>
        <w:spacing w:after="0" w:line="128"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Joint ventures or similar investments are subject to a number of risks, the occurrence of which could adversely impact any of our current or future joint ventures or similar investments, which in turn could harm our business.</w:t>
      </w:r>
    </w:p>
    <w:p>
      <w:pPr>
        <w:spacing w:after="0" w:line="7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Joint ventures or similar investments such as the investment in Transchip as discussed elsewhere in this report, and other joint ventures or similar investments we may form in the future are subject to a number of risks, including but not limited to:</w:t>
      </w:r>
    </w:p>
    <w:p>
      <w:pPr>
        <w:spacing w:after="0" w:line="104" w:lineRule="exact"/>
        <w:rPr>
          <w:sz w:val="20"/>
          <w:szCs w:val="20"/>
          <w:color w:val="auto"/>
        </w:rPr>
      </w:pPr>
    </w:p>
    <w:p>
      <w:pPr>
        <w:ind w:left="820" w:hanging="326"/>
        <w:spacing w:after="0" w:line="284" w:lineRule="auto"/>
        <w:tabs>
          <w:tab w:leader="none" w:pos="8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joint venture or investment partners may not commit sufficient resources to market and distribute our products or to otherwise support the joint venture and its intended operations.</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joint venture or investment partners may have economic or business interests or goals that are different from ours.</w:t>
      </w:r>
    </w:p>
    <w:p>
      <w:pPr>
        <w:spacing w:after="0" w:line="182" w:lineRule="exact"/>
        <w:rPr>
          <w:rFonts w:ascii="Arial" w:cs="Arial" w:eastAsia="Arial" w:hAnsi="Arial"/>
          <w:sz w:val="17"/>
          <w:szCs w:val="17"/>
          <w:color w:val="auto"/>
        </w:rPr>
      </w:pPr>
    </w:p>
    <w:p>
      <w:pPr>
        <w:ind w:left="820" w:right="20" w:hanging="326"/>
        <w:spacing w:after="0" w:line="284" w:lineRule="auto"/>
        <w:tabs>
          <w:tab w:leader="none" w:pos="8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joint venture or investment partners may infringe the IP we assign or license to such joint venture, or the IP of other parties, which may be adverse to us, expose us to litigation and other potential liabilities.</w:t>
      </w:r>
    </w:p>
    <w:p>
      <w:pPr>
        <w:spacing w:after="0" w:line="104" w:lineRule="exact"/>
        <w:rPr>
          <w:rFonts w:ascii="Arial" w:cs="Arial" w:eastAsia="Arial" w:hAnsi="Arial"/>
          <w:sz w:val="17"/>
          <w:szCs w:val="17"/>
          <w:color w:val="auto"/>
        </w:rPr>
      </w:pPr>
    </w:p>
    <w:p>
      <w:pPr>
        <w:jc w:val="both"/>
        <w:ind w:left="820" w:right="20" w:hanging="326"/>
        <w:spacing w:after="0" w:line="266" w:lineRule="auto"/>
        <w:tabs>
          <w:tab w:leader="none" w:pos="856"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Disputes may arise among us and our joint venture or investment partners that result in adverse business conditions, delays or termination of activities contemplated by such joint venture or investment or that could result in costly litigation or arbitration that diverts management attention and resources.</w:t>
      </w:r>
    </w:p>
    <w:p>
      <w:pPr>
        <w:spacing w:after="0" w:line="133" w:lineRule="exact"/>
        <w:rPr>
          <w:rFonts w:ascii="Arial" w:cs="Arial" w:eastAsia="Arial" w:hAnsi="Arial"/>
          <w:sz w:val="17"/>
          <w:szCs w:val="17"/>
          <w:color w:val="auto"/>
        </w:rPr>
      </w:pPr>
    </w:p>
    <w:p>
      <w:pPr>
        <w:jc w:val="both"/>
        <w:ind w:left="820" w:hanging="326"/>
        <w:spacing w:after="0" w:line="266" w:lineRule="auto"/>
        <w:tabs>
          <w:tab w:leader="none" w:pos="829"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joint venture or investment partners may not provide us with timely and accurate information regarding the status, compliance or activities of the joint venture or investment which could, among other things, impact our ability to accurately forecast financial results or provide timely information to our shareholders.</w:t>
      </w:r>
    </w:p>
    <w:p>
      <w:pPr>
        <w:spacing w:after="0" w:line="119" w:lineRule="exact"/>
        <w:rPr>
          <w:rFonts w:ascii="Arial" w:cs="Arial" w:eastAsia="Arial" w:hAnsi="Arial"/>
          <w:sz w:val="17"/>
          <w:szCs w:val="17"/>
          <w:color w:val="auto"/>
        </w:rPr>
      </w:pPr>
    </w:p>
    <w:p>
      <w:pPr>
        <w:ind w:left="820" w:hanging="326"/>
        <w:spacing w:after="0"/>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Risks associated with the ability to generate sufficient revenue and or investment to continue operations.</w:t>
      </w:r>
    </w:p>
    <w:p>
      <w:pPr>
        <w:spacing w:after="0" w:line="169" w:lineRule="exact"/>
        <w:rPr>
          <w:rFonts w:ascii="Arial" w:cs="Arial" w:eastAsia="Arial" w:hAnsi="Arial"/>
          <w:sz w:val="17"/>
          <w:szCs w:val="17"/>
          <w:color w:val="auto"/>
        </w:rPr>
      </w:pPr>
    </w:p>
    <w:p>
      <w:pPr>
        <w:ind w:left="820" w:hanging="326"/>
        <w:spacing w:after="0" w:line="301" w:lineRule="auto"/>
        <w:tabs>
          <w:tab w:leader="none" w:pos="8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of the risks related to doing business in China or having a Chinese joint venture or investment that are discussed elsewhere in these risk factors.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occurrence of one or more of the above risks, or any other negative events, could adversely impact our joint ventures or similar investments including our investment in Transchip and we may be required to incur impairment charges.</w:t>
      </w:r>
    </w:p>
    <w:p>
      <w:pPr>
        <w:spacing w:after="0" w:line="104"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Social and environmental responsibility regulations, policies and provisions, as well as customer and investor demands, may make our supply chain more complex and may adversely affect our relationships with customers and investors.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There is an increased focus on corporate social and environmental responsibility in the semiconductor industry. A number of our customers have adopted, or may adopt, procurement policies that include social and environmental responsibility provisions or requirements that their suppliers should comply with, or they may seek to include such provisions or requirements in their procurement terms and conditions. An increasing number of investors are also requiring companies to disclose corporate social and environmental policies, practices and metrics. Legal and regulatory requirements, as well as investor expectations, on corporate social responsibility practices and disclosure, are subject to change, can be unpredictable, and may be difficult and expensive for us to comply with, given the complexity of our supply. If we are unable to comply, or are unable to cause our suppliers to comply, with such policies or provisions or meet the requirements of our customers and our investors, a customer may stop purchasing products from us or an investor may sell their shares, and may take legal action against us, which could harm our reputation, revenue and results of operations.</w:t>
      </w:r>
    </w:p>
    <w:p>
      <w:pPr>
        <w:spacing w:after="0" w:line="12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We could be subject to changes in tax rates or the adoption of new tax legislation, whether in or out of the United States, or could otherwise have exposure to additional tax liabilities, which could harm our business.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a multinational business, we are subject to income and other taxes in both the United States and various foreign jurisdictions. Changes to tax laws or regulations in the jurisdictions in which we operate, or in the interpretation of such laws or regulations, could, significantly increase our effective tax rate and reduce our cash flow from operating activities, and otherwise have a material adverse effect on our financial condition.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w:t>
      </w:r>
    </w:p>
    <w:p>
      <w:pPr>
        <w:spacing w:after="0" w:line="1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spacing w:after="0" w:line="11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Further changes in the tax laws of foreign jurisdictions could arise, in particular, as a result of the base erosion and profit shifting project that was undertaken by the Organization for Economic Co-operation and Development (the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incurred cumulative losses historically and it is possible that we will not achieve profitability in the future. Realization of our existing net operating loss (NOL) carryforwards and other tax attributes (such as research tax credits) depends on future taxable income, and there is a risk that our NOL carryforwards and other tax attributes could expire unused before we achieve profitability and be unavailable to offset future taxable income, which could materially and adversely affect our operating results.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general, under Sections 382 and 383 of the Internal Revenue Code of 1986, as amended (the Code),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tax credits) to offset its post-change income or taxes may be limited. We may have experienced ownership changes in the past and may experience additional ownership changes in the future, including as a result of subsequent changes in our stock ownership, some of which are outside our control. Accordingly, we may not be able to utilize a material portion of our NOL carryforwards, even if we achieve profitability.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requirements of being a public company require significant resources and management attention and affect our ability to attract and retain executive management and qualified board members.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a public company, we incur increased legal, accounting, compliance and other expenses that we did not previously incur as a private company. We are subject to the Exchange Act, including the reporting requirements thereunder, the Sarbanes-Oxley Act, the Dodd-Frank Wall Street Reform and Consumer Protection Act, the rules and other applicable securities rules and regulations. These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which divert their attention away from our core business operations and revenue-producing activities. Moreover, compliance with these rules and regulations increases our legal and financial compliance costs, makes some activities more difficult, time-consuming or costly and increases demand on our systems and resources, particularly after we are no longer an ‘‘emerging growth company.’’ Further, we expect that these rules and regulations may make it more difficult and more expensive for us to obtain directors’ and officers’ liability insurance, which in turn could require us to incur substantially higher costs to obtain the same or similar coverage or accept reduced policy limits and coverage, which, if we accept such reduced policy limits and coverage, could make it more difficult for us to attract and retain qualified individuals to serve on our board of directors and as our executive officers. In addition, prior to our initial public offering, we were not required to comply with SEC requirements to have our financial statements completed and reviewed or audited within a specified time and, as such, we may experience difficulty in meeting the applicable reporting requirements under the Exchange Act. Any failure by us to file our periodic reports with the SEC in a timely manner could harm our reputation and reduce the trading price of our common stock.</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the courts,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common stock, fines, sanctions or other regulatory action or civil litigation.</w:t>
      </w:r>
    </w:p>
    <w:p>
      <w:pPr>
        <w:spacing w:after="0" w:line="125"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As a public company, we are required to provide an annual management report on the effectiveness of our internal control over financial reporting.</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common stock.</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an “emerging growth company,” as defined in the JOBS Act, and we could remain an emerging growth company until the last day of our fiscal year following the fifth anniversary of the closing of our initial public offering. For as long as we continue to be an emerging growth company, we may choose to take advantage of certain exemptions from various reporting requirements that are applicable to other public companies that are not emerging growth companies, including, but not limited to:</w:t>
      </w:r>
    </w:p>
    <w:p>
      <w:pPr>
        <w:spacing w:after="0" w:line="119" w:lineRule="exact"/>
        <w:rPr>
          <w:sz w:val="20"/>
          <w:szCs w:val="20"/>
          <w:color w:val="auto"/>
        </w:rPr>
      </w:pPr>
    </w:p>
    <w:p>
      <w:pPr>
        <w:ind w:left="820" w:hanging="326"/>
        <w:spacing w:after="0" w:line="284" w:lineRule="auto"/>
        <w:tabs>
          <w:tab w:leader="none" w:pos="842"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not being required to engage an auditor to report on our internal controls over financial reporting pursuant to Section 404(b) of the Sarbanes-Oxley Act;</w:t>
      </w:r>
    </w:p>
    <w:p>
      <w:pPr>
        <w:spacing w:after="0" w:line="104" w:lineRule="exact"/>
        <w:rPr>
          <w:rFonts w:ascii="Arial" w:cs="Arial" w:eastAsia="Arial" w:hAnsi="Arial"/>
          <w:sz w:val="17"/>
          <w:szCs w:val="17"/>
          <w:color w:val="auto"/>
        </w:rPr>
      </w:pPr>
    </w:p>
    <w:p>
      <w:pPr>
        <w:jc w:val="both"/>
        <w:ind w:left="820" w:hanging="326"/>
        <w:spacing w:after="0" w:line="274" w:lineRule="auto"/>
        <w:tabs>
          <w:tab w:leader="none" w:pos="829"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13" w:lineRule="exact"/>
        <w:rPr>
          <w:rFonts w:ascii="Arial" w:cs="Arial" w:eastAsia="Arial" w:hAnsi="Arial"/>
          <w:sz w:val="17"/>
          <w:szCs w:val="17"/>
          <w:color w:val="auto"/>
        </w:rPr>
      </w:pPr>
    </w:p>
    <w:p>
      <w:pPr>
        <w:ind w:left="820" w:hanging="326"/>
        <w:spacing w:after="0" w:line="284" w:lineRule="auto"/>
        <w:tabs>
          <w:tab w:leader="none" w:pos="842"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not being required to submit certain executive compensation matters to stockholder advisory votes, such as “say-on-pay,” “say-on-frequency,” and “say-on-golden-parachutes”; and</w:t>
      </w:r>
    </w:p>
    <w:p>
      <w:pPr>
        <w:spacing w:after="0" w:line="104" w:lineRule="exact"/>
        <w:rPr>
          <w:rFonts w:ascii="Arial" w:cs="Arial" w:eastAsia="Arial" w:hAnsi="Arial"/>
          <w:sz w:val="17"/>
          <w:szCs w:val="17"/>
          <w:color w:val="auto"/>
        </w:rPr>
      </w:pPr>
    </w:p>
    <w:p>
      <w:pPr>
        <w:ind w:left="820" w:hanging="326"/>
        <w:spacing w:after="0" w:line="301" w:lineRule="auto"/>
        <w:tabs>
          <w:tab w:leader="none" w:pos="8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as an emerging growth company, we are only permitted to provide two years of audited financial statements and two years of selected financial data (in addition to any required interim financial statements and selected financial data) in this report, and to present correspondingly reduced disclosure in “Management’s Discussion and Analysis of Financial Condition and Results of Operations.”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have elected to take advantage of this reduced disclosure obligation and certain of the other exemptions described above and may elect to take advantage of these and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common stock and our stock price may be reduced or become more volatile.</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will remain an emerging growth company, and will be able to take advantage of the foregoing exemptions, until the last day of our fiscal year following the fifth anniversary of the closing of our initial public offering or such earlier time that we otherwise cease to be an emerging growth company, which will occur upon the earliest of (i) the last day of the first fiscal year in which our annual gross revenue is $1.235 billion or more;</w:t>
      </w:r>
    </w:p>
    <w:p>
      <w:pPr>
        <w:spacing w:after="0" w:line="2" w:lineRule="exact"/>
        <w:rPr>
          <w:sz w:val="20"/>
          <w:szCs w:val="20"/>
          <w:color w:val="auto"/>
        </w:rPr>
      </w:pPr>
    </w:p>
    <w:p>
      <w:pPr>
        <w:jc w:val="both"/>
        <w:ind w:firstLine="8"/>
        <w:spacing w:after="0" w:line="256" w:lineRule="auto"/>
        <w:tabs>
          <w:tab w:leader="none" w:pos="251"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date on which we have, during the previous three-year period, issued more than $1.0 billion in non-convertible debt securities; and (iii) the date that we become a “large accelerated filer” as defined in Rule 12b-2 under the Exchange Act, which will occur as of the end of any fiscal year in which (x) the market value of our common equity held by non-affiliates is $700 million or more as of the last business day of our most recently completed second fiscal quarter, (y) we have been required to file annual and quarterly reports under the Exchange Act for a period of at least 12 months and (z) we have filed at least one annual report pursuant to the Exchange Act.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and liquid trading market for our common stock may not be sustained.</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common stock is currently listed on the Nasdaq Stock Market under the symbol “AIP”. The price for our common stock may vary and an active or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further capital by selling additional shares of our common stock and our ability to acquire other companies, products or technologies by using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spacing w:after="0" w:line="336"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Our stock price may be volatile, and investors in our common stock may not be able to resell shares of our common stock at or above the price paid, or at all.</w:t>
      </w:r>
    </w:p>
    <w:p>
      <w:pPr>
        <w:spacing w:after="0" w:line="8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trading price of our common stock could be volatile and subject to wide fluctuations in response to various factors, many of which are beyond our control, including, but not limited to:</w:t>
      </w:r>
    </w:p>
    <w:p>
      <w:pPr>
        <w:spacing w:after="0" w:line="104" w:lineRule="exact"/>
        <w:rPr>
          <w:sz w:val="20"/>
          <w:szCs w:val="20"/>
          <w:color w:val="auto"/>
        </w:rPr>
      </w:pPr>
    </w:p>
    <w:p>
      <w:pPr>
        <w:ind w:left="820" w:hanging="326"/>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variations in our actual or anticipated annual or quarterly operating results or those of others in our industry;</w:t>
      </w:r>
    </w:p>
    <w:p>
      <w:pPr>
        <w:spacing w:after="0" w:line="182" w:lineRule="exact"/>
        <w:rPr>
          <w:rFonts w:ascii="Arial" w:cs="Arial" w:eastAsia="Arial" w:hAnsi="Arial"/>
          <w:sz w:val="17"/>
          <w:szCs w:val="17"/>
          <w:color w:val="auto"/>
        </w:rPr>
      </w:pPr>
    </w:p>
    <w:p>
      <w:pPr>
        <w:ind w:left="820" w:hanging="326"/>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potential effects arising if U.S. inflationary and/or currency devaluation trends appear or increase;</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results of operations that otherwise fail to meet the expectations of securities analysts and investors;</w:t>
      </w:r>
    </w:p>
    <w:p>
      <w:pPr>
        <w:spacing w:after="0" w:line="169"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earnings estimates or recommendations by securities analysts, or other changes in investor perceptions of the investment opportunity associated with our common stock relative to other investment alternatives;</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market conditions in the semiconductor industry;</w:t>
      </w:r>
    </w:p>
    <w:p>
      <w:pPr>
        <w:spacing w:after="0" w:line="182" w:lineRule="exact"/>
        <w:rPr>
          <w:rFonts w:ascii="Arial" w:cs="Arial" w:eastAsia="Arial" w:hAnsi="Arial"/>
          <w:sz w:val="17"/>
          <w:szCs w:val="17"/>
          <w:color w:val="auto"/>
        </w:rPr>
      </w:pPr>
    </w:p>
    <w:p>
      <w:pPr>
        <w:ind w:left="820" w:hanging="326"/>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market volatility caused by the rapidly evolving AI-related developments;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failure to meet our publicly announced guidance or other expectations about our business;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publications, reports or other media exposure of our products or those of others in our industry, or of our industry generally;</w:t>
      </w:r>
    </w:p>
    <w:p>
      <w:pPr>
        <w:spacing w:after="0" w:line="169" w:lineRule="exact"/>
        <w:rPr>
          <w:rFonts w:ascii="Arial" w:cs="Arial" w:eastAsia="Arial" w:hAnsi="Arial"/>
          <w:sz w:val="17"/>
          <w:szCs w:val="17"/>
          <w:color w:val="auto"/>
        </w:rPr>
      </w:pPr>
    </w:p>
    <w:p>
      <w:pPr>
        <w:jc w:val="both"/>
        <w:ind w:left="820" w:hanging="326"/>
        <w:spacing w:after="0" w:line="274" w:lineRule="auto"/>
        <w:tabs>
          <w:tab w:leader="none" w:pos="8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113" w:lineRule="exact"/>
        <w:rPr>
          <w:rFonts w:ascii="Arial" w:cs="Arial" w:eastAsia="Arial" w:hAnsi="Arial"/>
          <w:sz w:val="17"/>
          <w:szCs w:val="17"/>
          <w:color w:val="auto"/>
        </w:rPr>
      </w:pPr>
    </w:p>
    <w:p>
      <w:pPr>
        <w:ind w:left="820" w:hanging="326"/>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additions or departures of key management personnel;</w:t>
      </w:r>
    </w:p>
    <w:p>
      <w:pPr>
        <w:spacing w:after="0" w:line="169" w:lineRule="exact"/>
        <w:rPr>
          <w:rFonts w:ascii="Arial" w:cs="Arial" w:eastAsia="Arial" w:hAnsi="Arial"/>
          <w:sz w:val="17"/>
          <w:szCs w:val="17"/>
          <w:color w:val="auto"/>
        </w:rPr>
      </w:pPr>
    </w:p>
    <w:p>
      <w:pPr>
        <w:ind w:left="820" w:hanging="326"/>
        <w:spacing w:after="0" w:line="284" w:lineRule="auto"/>
        <w:tabs>
          <w:tab w:leader="none" w:pos="842"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regulatory actions involving us or others in our industry, or actual or anticipated changes in applicable government regulations or enforcement thereof;</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common stock;</w:t>
      </w:r>
    </w:p>
    <w:p>
      <w:pPr>
        <w:spacing w:after="0" w:line="169" w:lineRule="exact"/>
        <w:rPr>
          <w:rFonts w:ascii="Arial" w:cs="Arial" w:eastAsia="Arial" w:hAnsi="Arial"/>
          <w:sz w:val="17"/>
          <w:szCs w:val="17"/>
          <w:color w:val="auto"/>
        </w:rPr>
      </w:pPr>
    </w:p>
    <w:p>
      <w:pPr>
        <w:jc w:val="both"/>
        <w:ind w:left="820" w:hanging="326"/>
        <w:spacing w:after="0" w:line="274" w:lineRule="auto"/>
        <w:tabs>
          <w:tab w:leader="none" w:pos="8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sales, or anticipated sales, of large blocks of our common stock, such as any sales that may occur following the expiration of the lockups entered into in connection with our initial public offering or any sales to cover tax obligations or exercise costs in connection with the vesting of restricted stock units or the exercise of options, respectively;</w:t>
      </w:r>
    </w:p>
    <w:p>
      <w:pPr>
        <w:spacing w:after="0" w:line="113" w:lineRule="exact"/>
        <w:rPr>
          <w:rFonts w:ascii="Arial" w:cs="Arial" w:eastAsia="Arial" w:hAnsi="Arial"/>
          <w:sz w:val="17"/>
          <w:szCs w:val="17"/>
          <w:color w:val="auto"/>
        </w:rPr>
      </w:pPr>
    </w:p>
    <w:p>
      <w:pPr>
        <w:ind w:left="820" w:hanging="326"/>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general economic and securities market conditions, including rising interest rates; and</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factors discussed in this “Risk Factors” section and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 These and other factors may cause the market price and demand for our common stock to fluctuate significantly,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core business operations.</w:t>
      </w:r>
    </w:p>
    <w:p>
      <w:pPr>
        <w:spacing w:after="0" w:line="141"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Since our stock price may be volatile, investors in our common stock may not be able to resell shares of our common stock at or above the price paid, or at all.</w:t>
      </w:r>
    </w:p>
    <w:p>
      <w:pPr>
        <w:spacing w:after="0" w:line="10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fail to meet our publicly announced guidance or other expectations about our business, which could cause our stock price to decline.</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provide guidance regarding our expected financial and business performance including our anticipated future revenues, operating expenses and other financial metrics. Correctly identifying the key factors affecting business conditions and predicting future events is inherently uncertain. Any guidance that we provide may not always be accurate or may vary from actual results due to our inability to correctly identify risks and uncertainties and to quantify their impact on our financial performance. We provide no assurances that such guidance will ultimately be accurate, and any such guidance should be treated with appropriate caution. If we fail to meet our guidance or if we find it necessary to revise such guidance, even if seemingly insignificant, investors and analysts may lose confidence in us and the market value of our common stock could be materially adversely affected.</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If equity research analysts or industry analysts do not publish research or reports about our business, or if they change their recommendations regarding our stock adversely, our stock price and trading volume could decline.</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trading market for our common stock is influenced by the research and reports that industry or equity research analysts publish about us or our business.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only a few securities or industry analysts commence coverage of us, the trading price for our common stock will be negatively impacted. When we obtain industry or equity research analyst coverage, we will not have any control over the analysts’ content and opinions included in their reports. If any of the analysts who cover us issue an adverse or misleading opinion regarding us, our business model, financial performance, stock price or otherwise, our stock price would likely decline. If one or more of these analysts ceases coverage of our company or fails to regularly publish reports on us, we could lose visibility in the financial markets, which in turn could cause our stock price or trading volume to decline and result in the loss of all or a part of your investment in us.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our existing stockholders, including current or former employees sell, or indicate an intention to sell, substantial amounts of our common stock in the public market, the market price of our common stock could decline. As of December 31, 2024, we had approximately 40.7 million shares of common stock outstanding.</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Shares of common stock that are either subject to outstanding options or reserved for future issuance pursuant to restricted stock unit grants, in each case,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certain of our executive officers, directors and stockholders affiliated with our directors have entered or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w:t>
      </w:r>
    </w:p>
    <w:p>
      <w:pPr>
        <w:spacing w:after="0" w:line="11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executive officers, directors and stockholders affiliated with our directors may also buy or sell additional shares outside of a Rule 10b5-1 plan when they are not in possession of material, nonpublic information.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K. Charles Janac, our President, Chief Executive Officer and Chairman, beneficially owns a significant percentage of our stock and will be able to exert significant control over matters subject to stockholder approval.</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of December 31, 2024, K. Charles Janac, our President, Chief Executive Officer and Chairman, held voting power over approximately 25.0% of our outstanding voting stock. Therefore, this stockholder will have the ability to influence us through this ownership position. For example, this stockholder may be able to exercise significant influence over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Our issuance of additional capital stock in connection with financings, acquisitions, investments, our stock incentive plans or otherwise could dilute the ownership and voting power of our other stockholders.</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300,000,000 shares of common stock authorized as of December 31, 2024. In addition, our Certificate of Incorporation authorizes us to issue up to 10,000,000 shares of preferred stock with such rights and preferences as may be determined by our board of directors. Our Certificate of Incorporation authorizes us to issue shares of common stock or other securities convertible into or exercisable or exchangeable for shares of our common stock from time to time, for the consideration and on the terms and conditions established by our board of directors in its sole discretion, whether in connection with a financing, an acquisition, an investment, our stock incentive plans or otherwise. Such additional shares of our common stock or such other securities may be issued at a discount to the market price of our common stock at the time of issuance. Our preferred stock could be issued with voting, liquidation, dividend and other rights superior to the rights of our common stock. As discussed below, the potential issuance of preferred stock may delay or prevent a change in control of us, discourage bids for our common stock at a premium to the market price, and materially and adversely affect the market price and the voting and other rights of the holders of our common stock. Any issuance of such securities could result in substantial dilution to our existing stockholders and cause the market price of shares of our common stock to decline.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declare or pay any dividends on our common stock for the foreseeable future.</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do not intend to pay cash dividends on our common stock for the foreseeable future. Consequently, investors must rely on sales of their shares of our common stock after price appreciation, which may never occur, as the only way to realize any future gains on their investment. Investors seeking dividends should not purchase shares of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the provisions of the Delaware General Corporation Law (the DGCL) affecting the payment of dividends and distributions to stockholders and any other factors or considerations our board of directors may regard as relevant. Furthermore, because we are a holding company, our ability to pay dividends on our common stock will depend on our receipt of cash distributions and dividends from our direct and indirect wholly owned subsidiaries, which may be similarly impacted by, among other things, the terms of any preferred equity securities these subsidiaries may issue in the future, debt agreements, other contractual restrictions and provisions of applicable law. See “Dividend Policy” for additional information.</w:t>
      </w:r>
    </w:p>
    <w:p>
      <w:pPr>
        <w:spacing w:after="0" w:line="13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Management may apply our net proceeds from our initial public offering to uses that do not increase our market value or improve our operating results.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management has broad discretion in the application of the net proceeds from our initial public offering and could use these proceeds in ways that do not improve our results of operations or enhance the value of our common stock. We intend to use these proceeds for general corporate purposes. We may also use a portion of our net proceeds to acquire or invest in complementary businesses, products, services or technologies, though we do not have any agreements or commitments for any significant acquisitions or investments at this time. We have not reserved or allocated our net proceeds for any specific purpose, and we cannot state with certainty how our management will use our net proceeds. Accordingly, our management will have considerable discretion in applying our net proceeds, and you will not have the opportunity, as part of your investment decision, to assess whether we are using our net proceeds appropriately. We may use our net proceeds for purposes that do not result in any improvement in our results of operations or increase the market value of our common stock. The failure by our management to apply the net proceeds from our initial public offering effectively could impair our growth prospects and result in financial losses that could harm our business and cause the price of our common stock to decline. Until the net proceeds we receive are used, they may be placed in investments that do not produce income or that lose value.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Provisions in our Certificate of Incorporation and Bylaws and under the DGCL contain antitakeover provisions that could prevent or discourage a takeover</w:t>
      </w:r>
      <w:r>
        <w:rPr>
          <w:rFonts w:ascii="Arial" w:cs="Arial" w:eastAsia="Arial" w:hAnsi="Arial"/>
          <w:sz w:val="17"/>
          <w:szCs w:val="17"/>
          <w:color w:val="auto"/>
        </w:rPr>
        <w:t>.</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38" w:lineRule="exact"/>
        <w:rPr>
          <w:sz w:val="20"/>
          <w:szCs w:val="20"/>
          <w:color w:val="auto"/>
        </w:rPr>
      </w:pPr>
    </w:p>
    <w:p>
      <w:pPr>
        <w:ind w:left="660" w:hanging="328"/>
        <w:spacing w:after="0" w:line="284" w:lineRule="auto"/>
        <w:tabs>
          <w:tab w:leader="none" w:pos="669"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classified board of directors with three-year staggered terms, which may have the effect of deferring, delaying or discouraging hostile takeovers, or changes in control of us or our management;</w:t>
      </w:r>
    </w:p>
    <w:p>
      <w:pPr>
        <w:spacing w:after="0" w:line="104"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 cumulative voting in the election of directors, which limits the ability of minority stockholders to elect director candidates;</w:t>
      </w:r>
    </w:p>
    <w:p>
      <w:pPr>
        <w:spacing w:after="0" w:line="169" w:lineRule="exact"/>
        <w:rPr>
          <w:rFonts w:ascii="Arial" w:cs="Arial" w:eastAsia="Arial" w:hAnsi="Arial"/>
          <w:sz w:val="17"/>
          <w:szCs w:val="17"/>
          <w:color w:val="auto"/>
        </w:rPr>
      </w:pPr>
    </w:p>
    <w:p>
      <w:pPr>
        <w:ind w:left="660" w:hanging="328"/>
        <w:spacing w:after="0" w:line="284" w:lineRule="auto"/>
        <w:tabs>
          <w:tab w:leader="none" w:pos="66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04" w:lineRule="exact"/>
        <w:rPr>
          <w:rFonts w:ascii="Arial" w:cs="Arial" w:eastAsia="Arial" w:hAnsi="Arial"/>
          <w:sz w:val="17"/>
          <w:szCs w:val="17"/>
          <w:color w:val="auto"/>
        </w:rPr>
      </w:pPr>
    </w:p>
    <w:p>
      <w:pPr>
        <w:jc w:val="both"/>
        <w:ind w:left="660" w:hanging="328"/>
        <w:spacing w:after="0" w:line="274" w:lineRule="auto"/>
        <w:tabs>
          <w:tab w:leader="none" w:pos="66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13"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ability of our board of directors to alter our bylaws without obtaining stockholder approval;</w:t>
      </w:r>
    </w:p>
    <w:p>
      <w:pPr>
        <w:spacing w:after="0" w:line="169" w:lineRule="exact"/>
        <w:rPr>
          <w:rFonts w:ascii="Arial" w:cs="Arial" w:eastAsia="Arial" w:hAnsi="Arial"/>
          <w:sz w:val="17"/>
          <w:szCs w:val="17"/>
          <w:color w:val="auto"/>
        </w:rPr>
      </w:pPr>
    </w:p>
    <w:p>
      <w:pPr>
        <w:ind w:left="660" w:right="20" w:hanging="328"/>
        <w:spacing w:after="0" w:line="284" w:lineRule="auto"/>
        <w:tabs>
          <w:tab w:leader="none" w:pos="66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required approval of the holders of at least two-thirds of the shares entitled to vote at an election of directors to amend or repeal our bylaws or amend the provisions of our Certificate of Incorporation regarding the election and removal of directors;</w:t>
      </w:r>
    </w:p>
    <w:p>
      <w:pPr>
        <w:spacing w:after="0" w:line="117" w:lineRule="exact"/>
        <w:rPr>
          <w:rFonts w:ascii="Arial" w:cs="Arial" w:eastAsia="Arial" w:hAnsi="Arial"/>
          <w:sz w:val="17"/>
          <w:szCs w:val="17"/>
          <w:color w:val="auto"/>
        </w:rPr>
      </w:pPr>
    </w:p>
    <w:p>
      <w:pPr>
        <w:ind w:left="660" w:hanging="328"/>
        <w:spacing w:after="0" w:line="284"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prohibition on stockholder action by written consent, which forces stockholder action to be taken at an annual or special meeting of our stockholders;</w:t>
      </w:r>
    </w:p>
    <w:p>
      <w:pPr>
        <w:spacing w:after="0" w:line="104" w:lineRule="exact"/>
        <w:rPr>
          <w:rFonts w:ascii="Arial" w:cs="Arial" w:eastAsia="Arial" w:hAnsi="Arial"/>
          <w:sz w:val="17"/>
          <w:szCs w:val="17"/>
          <w:color w:val="auto"/>
        </w:rPr>
      </w:pPr>
    </w:p>
    <w:p>
      <w:pPr>
        <w:jc w:val="both"/>
        <w:ind w:left="660" w:hanging="328"/>
        <w:spacing w:after="0" w:line="266" w:lineRule="auto"/>
        <w:tabs>
          <w:tab w:leader="none" w:pos="66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chairman of the board of directors or a majority of our board of directors, which may delay the ability of our stockholders to force consideration of a proposal or for stockholders controlling a majority of our capital stock to take action, including the removal of directors; and</w:t>
      </w:r>
    </w:p>
    <w:p>
      <w:pPr>
        <w:spacing w:after="0" w:line="133" w:lineRule="exact"/>
        <w:rPr>
          <w:rFonts w:ascii="Arial" w:cs="Arial" w:eastAsia="Arial" w:hAnsi="Arial"/>
          <w:sz w:val="17"/>
          <w:szCs w:val="17"/>
          <w:color w:val="auto"/>
        </w:rPr>
      </w:pPr>
    </w:p>
    <w:p>
      <w:pPr>
        <w:jc w:val="both"/>
        <w:ind w:left="660" w:hanging="328"/>
        <w:spacing w:after="0" w:line="260" w:lineRule="auto"/>
        <w:tabs>
          <w:tab w:leader="none" w:pos="669"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advance notice procedures that stockholders must comply with in order to nominate candidates to our board of directors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we are subject to Section 203 of the DGCL. Subject to specified exceptions, Section 203 prohibits a publicly held Delaware corporation from engaging in a “business combination” with an “interested stockholder” for a period of three years after the date of the transaction in which the person became an interested stockholder unless such transaction is approved in a prescribed manner. “Business combinations” include mergers, asset sales and other transactions resulting in a financial benefit to the “interested stockholder.” Subject to various exceptions, an “interested stockholder” is a person who, together with his or her affiliates and associates, owns, or within three years did own, 15% or more of the corporation’s outstanding voting stock.</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14"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Certificate of Incorporation provides that, unless we consent in writing to the selection of an alternative forum, the Court of Chancery of the State of Delaware (the Delaware Court of Chancery) will be the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Certificate of Incorporation or our Bylaws, or as to which the DGCL confers exclusive jurisdiction on the Delaware Court of Chancery; or (4) any action asserting a claim against us, any director or our officers or employees that is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Delaware Court of Chancery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Certificate of Incorporation described above.</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believe these provisions benefit us by providing increased consistency in the application of the DGCL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 If a court were to find the choice of forum provision contained in our Certificate of Incorporation to be inapplicable or unenforceable in an action, we may incur additional costs associated with resolving such action in other jurisdictions, which could harm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6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Actions of stockholders could cause us to incur substantial costs, divert management’s attention and resources and have an adverse effect on our business</w:t>
      </w:r>
      <w:r>
        <w:rPr>
          <w:rFonts w:ascii="Arial" w:cs="Arial" w:eastAsia="Arial" w:hAnsi="Arial"/>
          <w:sz w:val="17"/>
          <w:szCs w:val="17"/>
          <w:color w:val="auto"/>
        </w:rPr>
        <w:t>.</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128"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Litigation, including securities class action litigation, may impair our reputation and lead us to incur significant costs. For example, we are currently involved in ongoing litigation related to patent infringement claims.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From time to time, we may be party to various lawsuits and claims arising in the normal course of business, which may include lawsuits or claims relating to contracts, third-party contractors, intellectual property rights, employment matters or other aspects of our business. We may face claims based on intellectual property rights from individuals, companies, non-practicing entities, academic and research institutions, and other parties, including claims from multiple sources against us and other companies. Claims that our products infringe the intellectual property rights of others, regardless of merit, may cause us to incur large costs to respond to, defend and resolve the claims, and they may divert the efforts and attention of our management and technical personnel from our operations.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in the past, following periods of volatility in the overall market and the market price of a company’s securities, securities class action litigation has often been instituted against companies that experienced such volatility. Litigation, if instituted against us, whether or not valid and regardless of outcome, could result in substantial costs, reputational harm and a diversion of our management’s attention and resources. In addition, we may be required to pay damage awards or settlements or become subject to injunctions or other equitable remedies, which could harm our business. The outcome of litigation is often difficult to predict, and any litigation may harm our business.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Although we have various insurance policies in place, the potential liabilities associated with litigation matters now or that could arise in the future, could be excluded from coverage or, if covered, could exceed the coverage provided by such policies. In addition, insurance carriers may seek to rescind or deny coverage with respect to any claim or lawsuit. If we do not have sufficient coverage under our policies, or if coverage is denied, we may be required to make material payments to settle litigation or satisfy any judgment. Any of these consequences could harm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 Risk Management and Strategy</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have developed and implemented a cybersecurity risk management program intended to protect the confidentiality, integrity, and availability of our critical systems and information and is designed to identify, assess, prioritize and manage cybersecurity threats.</w:t>
      </w:r>
    </w:p>
    <w:p>
      <w:pPr>
        <w:spacing w:after="0" w:line="104"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As part of our comprehensive risk management program, our cybersecurity risk management program includes methodologies, reporting channels and governance processes that apply across the enterprise to other legal, compliance, strategic, operational, and financial risk areas.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Our cybersecurity risk management program includes:</w:t>
      </w:r>
    </w:p>
    <w:p>
      <w:pPr>
        <w:spacing w:after="0" w:line="169" w:lineRule="exact"/>
        <w:rPr>
          <w:sz w:val="20"/>
          <w:szCs w:val="20"/>
          <w:color w:val="auto"/>
        </w:rPr>
      </w:pPr>
    </w:p>
    <w:p>
      <w:pPr>
        <w:ind w:left="660" w:right="20" w:hanging="328"/>
        <w:spacing w:after="0" w:line="284" w:lineRule="auto"/>
        <w:tabs>
          <w:tab w:leader="none" w:pos="669" w:val="left"/>
        </w:tabs>
        <w:numPr>
          <w:ilvl w:val="0"/>
          <w:numId w:val="32"/>
        </w:numPr>
        <w:rPr>
          <w:rFonts w:ascii="Arial" w:cs="Arial" w:eastAsia="Arial" w:hAnsi="Arial"/>
          <w:sz w:val="17"/>
          <w:szCs w:val="17"/>
          <w:color w:val="auto"/>
        </w:rPr>
      </w:pPr>
      <w:r>
        <w:rPr>
          <w:rFonts w:ascii="Arial" w:cs="Arial" w:eastAsia="Arial" w:hAnsi="Arial"/>
          <w:sz w:val="17"/>
          <w:szCs w:val="17"/>
          <w:color w:val="auto"/>
        </w:rPr>
        <w:t>Risk assessments designed to help identify cybersecurity risks to our critical systems, information, products, services, and our broader enterprise IT environment;</w:t>
      </w:r>
    </w:p>
    <w:p>
      <w:pPr>
        <w:spacing w:after="0" w:line="104" w:lineRule="exact"/>
        <w:rPr>
          <w:rFonts w:ascii="Arial" w:cs="Arial" w:eastAsia="Arial" w:hAnsi="Arial"/>
          <w:sz w:val="17"/>
          <w:szCs w:val="17"/>
          <w:color w:val="auto"/>
        </w:rPr>
      </w:pPr>
    </w:p>
    <w:p>
      <w:pPr>
        <w:jc w:val="both"/>
        <w:ind w:left="660" w:hanging="328"/>
        <w:spacing w:after="0" w:line="266" w:lineRule="auto"/>
        <w:tabs>
          <w:tab w:leader="none" w:pos="682"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management team, including the Chief Financial Officer (CFO), head of information technology (Head of IT), General Counsel/Chief Compliance Officer, and Deputy General Counsel (together, the Cybersecurity Management Team) responsible for managing and communicating priorities related to (1) our cybersecurity risk assessment processes, (2) our security controls, and (3) our response to cybersecurity incidents;</w:t>
      </w:r>
    </w:p>
    <w:p>
      <w:pPr>
        <w:spacing w:after="0" w:line="118" w:lineRule="exact"/>
        <w:rPr>
          <w:rFonts w:ascii="Arial" w:cs="Arial" w:eastAsia="Arial" w:hAnsi="Arial"/>
          <w:sz w:val="17"/>
          <w:szCs w:val="17"/>
          <w:color w:val="auto"/>
        </w:rPr>
      </w:pPr>
    </w:p>
    <w:p>
      <w:pPr>
        <w:ind w:left="660" w:hanging="328"/>
        <w:spacing w:after="0" w:line="284" w:lineRule="auto"/>
        <w:tabs>
          <w:tab w:leader="none" w:pos="69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use of external service providers, where appropriate, to assess, test or otherwise assist with aspects of our cybersecurity risk management program;</w:t>
      </w:r>
    </w:p>
    <w:p>
      <w:pPr>
        <w:spacing w:after="0" w:line="104"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Cybersecurity awareness training of our employees, incident response personnel, and senior management;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cybersecurity incident response plan that includes procedures for responding to cybersecurity incidents; and</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third-party risk management process to oversee and identify cybersecurity risks for our use of service providers, suppliers, and vendors.</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Cybersecurity Management Team is responsible for assessing and managing our material risks from cybersecurity threats. The Head of IT has primary responsibility for our overall cybersecurity risk management program and supervises both our internal IT personnel and our retained external cybersecurity consultants. Our Head of IT has served in various roles in information technology and information security for over 17 years. Our Deputy General Counsel has over 20 years of experience as an attorney and holds various certifications related to privacy and data protection.</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Cybersecurity Management Team is informed about and monitors the prevention, detection, mitigation, and remediation of cybersecurity risks and incidents through various means, which may include among other things, briefings with internal security personnel, threat intelligence and other information obtained from governmental, public or private sources, including external consultants engaged by us, and alerts and reports produced by security tools deployed in our IT environment.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not at this time identified risks from known cybersecurity threats, including as a result of any prior cybersecurity events, that have materially affected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“Risk Factors—Risks Related to Intellectual Property, Information Technology and Data Security and Privacy—Cybersecurity threats continue to increase in frequency and sophistication; a successful cybersecurity attack could interrupt or disrupt our information technology systems, or those of our third-party service providers, or cause the loss of confidential or protected data which could disrupt our business, force us to incur excessive costs or cause reputational harm.”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Board Governance</w:t>
      </w:r>
    </w:p>
    <w:p>
      <w:pPr>
        <w:spacing w:after="0" w:line="168"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Our board of directors considers cybersecurity risk as part of its risk oversight function. The Cybersecurity Management Team updates the board of directors, as necessary, regarding any significant cybersecurity incidents.</w:t>
      </w:r>
    </w:p>
    <w:p>
      <w:pPr>
        <w:spacing w:after="0" w:line="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board of directors receives briefings from management and the Cybersecurity Management Team periodically on our cyber risk management program and presentations on cybersecurity topics as part of the board of directors’ continuing education on topics that impact public companies.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principal executive office is located in Campbell, California. We currently lease offices in the United States in Campbell, California and Austin, Texas which consists of approximately 15,500 square feet of space. We also lease space in France, Poland, China, Japan, Taiwan and South Korea.</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lease all our facilities and do not own any real property. We believe our existing facilities are adequate and suitable for our current needs and that, should it be needed, suitable additional or alternative space will be available on commercially reasonable terms to accommodate our operations.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Refer to Note 11 to our consolidated financial statements included elsewhere in this Annual Report on Form 10-K.</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Price of Our Common Stock</w:t>
      </w:r>
    </w:p>
    <w:p>
      <w:pPr>
        <w:spacing w:after="0" w:line="169"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Our common stock, par value $0.001 per share, is listed on the Nasdaq Stock Market, under the symbol “AIP” and began trading on October 27, 2021. Prior to that date, there was no public trading market for our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of February 11, 2025, there were 417 stockholders of record of our common stock. The actual number of holders of our common stock is greater than the number of record holders and includes stockholders who are beneficial owners, but whose shares are held in street name by brokers or other nominees. The number of holders of record presented here also does not include stockholders whose shares may be held in trust by other entities.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169"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information required by this item is incorporated by reference to the definitive Proxy Statement for our 2025 Annual Meeting of Stockholders, which will be filed with the SEC no later than 120 days after December 31, 2024.</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Equity Securities</w:t>
      </w:r>
    </w:p>
    <w:p>
      <w:pPr>
        <w:spacing w:after="0" w:line="169"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On December 27, 2022, we issued an aggregate of 663,143 shares of our common stock to eight accredited investors at $3.77 per share, for an aggregate consideration of approximately $2.5 million, in connection with our acquisition of Semifore, Inc.</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Unless otherwise stated, the issuances of the above securities were deemed to be exempt from registration under the Securities Act in reliance upon Section 4(a)(2) of the Securities Act. Individuals who purchased securities as described above represented their intention to acquire the securities for investment only and not with a view to or for sale in connection with any distribution thereof, and appropriate legends were affixed to the share certificates issued in such transactions.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Registration Statement on Form S-1, as amended (File No. 333-259988) (the Form S-1), for our IPO was declared effective by the SEC on October 26, 2021. The Form S-1 registered the offering and sale of 5,750,000 shares of common stock. On October 29, 2021, we completed our IPO, in which we issued 5,750,000 shares of common stock at a price to the public of $14.00 per share, including 750,000 shares issued upon the full exercise of the underwriters’ option to purchase additional shares. We received net proceeds of approximately $71.1 million after deducting underwriting discounts and commissions and offering costs of approximately $3.8 million.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Jefferies LLC and Cowen served as lead book-running managers and BMO Capital Markets served as joint book-running manager for the offering.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Northland Capital Markets and Rosenblatt Securities acted as co-managers.</w:t>
      </w:r>
    </w:p>
    <w:p>
      <w:pPr>
        <w:spacing w:after="0" w:line="15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No payments were made to our directors or officers or their associates, holders of 10% or more of any class of our equity securities or any affiliates in connection with the issuance and sale of the securities registered.</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There has been no material change in the planned use of proceeds from our IPO as described in our Final Prospectus for the IPO dated as of October 26, 2021, and filed with the SEC pursuant to Rule 424(b)(4) on October 28, 2021.</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included under Part II, Item 8 in this Annual Report on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heading “Risk Factors” and elsewhere in this Annual Report on Form 10-K. You should carefully read the “Risk Factors” section of this Annual Report on Form 10-K to gain an understanding of the important factors that could cause actual results to differ materially from forward-looking statements. Please also see the section under the heading “Cautionary Note Regarding Forward-Looking Statements.”</w:t>
      </w:r>
    </w:p>
    <w:p>
      <w:pPr>
        <w:spacing w:after="0" w:line="14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i w:val="1"/>
          <w:iCs w:val="1"/>
          <w:color w:val="auto"/>
        </w:rPr>
        <w:t>Unless the context otherwise requires, all references in this report to “we,” “us,” “our,” the “Company,” and “Arteris” refer to Arteris, Inc. and its subsidiaries.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a leading provider of semiconductor system IP, including interconnect and other intellectual property, (collectively, System IP) technology. Our System IP technology manages the on-chip communications and IP block deployments in System-on-Chip (SoC) semiconductors and systems of chiplets. Our leading proprietary System IP solutions achieve this by connecting client IP blocks such as processors, memories, artificial intelligence/machine learning (AI/ML) accelerators, graphics subsystems, safety and security, and other input/output subsystems (I/Os) via multiple Networks-on-Chips (NoCs) in order for our customers to experience faster SoC targeting, as well as, more efficient, and lower cost solutions. Growth for our solutions is being driven by growing SoC sophistication and associated complexity, now extending into disaggregation of SoCs into systems which implement the communication protocol aspects and partner with industry leading providers like Synopsys, Cadence, Alphawave and others to connect to their die-to-die interfaces. The addition of more processors, channels of memory access, machine learning sections, additional I/Os interface standards, and other subsystems within SoCs is driving the need for more advanced System IP, including NoC interconnect IP’s. The growth in the numbers of these connected on-chip subsystems places an increasing premium on the interconnect IP capability to move data inside complex SoCs. We believe this increase in SoC complexity has created a significant opportunity for sophisticated System IP solutions that incorporate NoC interconnect IP, SoC Integration Automation software (SIA) (formerly IP deployment software) and NoC interface IP (consisting of peripheral data transport IP and control plane networks connected to NoC interconnect IPs). Moreover, our technology can also provide more cost-effective solutions and reduce the risks of building and maintaining in-house NoC teams, which we believe has positively contributed to our market segment share growth.</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SIA solutions, which were significantly enhanced by our acquisition of Magillem Design Services S.A. (Magillem) in 2020, complement our interconnect IP solutions by helping to automate not only the customer configuration of its NoC interconnect but also the process of integrating and assembling all of the customer’s IP blocks into an SoC. Products incorporating our IP are used to carry most of the important data inside complex SoCs for sophisticated applications, including automotive, enterprise computing, communications, consumer electronics, and industrial markets.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of December 31, 2024, we had 267 employees and offices in ten locations in the United States, France, China, South Korea, Japan and Taiwan. For the year ended December 31, 2024, we generated revenue of $57.7 million, net loss of $33.6 million and net loss per share, basic and diluted of $0.86. As of December 31, 2024, we had Annual Contract Value (as defined below) and Annual Contract Value plus royalties of $60.7 million and $65.1 million, respectively. During the year ended December 31, 2024, we added 10 net new Active Customers (as defined below), and our customers had 76 Confirmed Design Starts (as defined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w:t>
      </w:r>
    </w:p>
    <w:p>
      <w:pPr>
        <w:spacing w:after="0" w:line="168" w:lineRule="exact"/>
        <w:rPr>
          <w:sz w:val="20"/>
          <w:szCs w:val="20"/>
          <w:color w:val="auto"/>
        </w:rPr>
      </w:pPr>
    </w:p>
    <w:p>
      <w:pPr>
        <w:jc w:val="both"/>
        <w:ind w:right="60"/>
        <w:spacing w:after="0" w:line="274" w:lineRule="auto"/>
        <w:rPr>
          <w:sz w:val="20"/>
          <w:szCs w:val="20"/>
          <w:color w:val="auto"/>
        </w:rPr>
      </w:pPr>
      <w:r>
        <w:rPr>
          <w:rFonts w:ascii="Arial" w:cs="Arial" w:eastAsia="Arial" w:hAnsi="Arial"/>
          <w:sz w:val="17"/>
          <w:szCs w:val="17"/>
          <w:color w:val="auto"/>
        </w:rPr>
        <w:t>We believe that the growth of our business and our future success are dependent upon many factors including those described under “Risk Factors” and elsewhere in this report, in addition to those described below. While each of these factors presents significant opportunities for us, these factors also pose challenges that we must successfully address in order to sustain the growth of our business and enhance our results of operations.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Agreements with New and Existing Customers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ability to generate revenue from new license agreements, and the timing of such revenue, is subject to a number of factors, risks and contingencies. For new products, the time from initial development until we generate license revenue can be lengthy, typically between one and three years. In addition, because the selection process by our customers is typically lengthy and market requirements and alternative solutions available to customers for IP-based products change rapidly, we may be required to incur significant research and development expenditures in pursuit of new products over extended, multiyear periods of time with no assurance that our solutions will be successfully developed or ultimately selected by our customers. While we make efforts to observe market demand and market need trends, we cannot be certain that our investment in developing and testing new products will generate an adequate rate of return in the form of fees, royalties or other revenues, or any revenues. Moreover, the customer acquisition process has a typical duration of six to nine months; following this, a customer’s chip design cycle is typically between one to three years and may be delayed due to factors beyond our control, which may result in our customer’s product not reaching the market until long after we entered into a contract with such customer. Customers typically start shipping their products using our interconnect IP solutions between one to five years following completion of their product design, known as mass production, at which point we start to receive royalties; this typically lasts for up to seven years depending on the particular market. Any significant delay in the ramp-up of volume production of the customer’s products into which our product is designed could adversely affect our business due to delayed or significantly reduced revenues. Further, because the average selling prices of our products may decline over time, we consider new license agreements and new product launches to be critical to our future success and anticipate that for our newer products, we are and will remain highly dependent on market demand timing and revenue from new license agreements.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End Customer Product Demand and Market Conditions</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Demand for our interconnect IP solutions and associated royalty revenue is highly dependent on market conditions in the end markets in which our customers operate. These end markets, which include the automotive, enterprise computing, communications, artificial intelligence and machine learning, consumer electronics, and industrial markets, are subject to a number of factors including end-product acceptance and sales, competitive pressures, supply chain issues and general market conditions. For example, our revenue has been supported by the increased need for more complex SoCs to enable sophisticated automated driving. If the demand in this market continues to grow, we anticipate it will continue to have a positive impact on our revenue. In contrast, if general market conditions deteriorate or other factors occur, such as supply chain issues and global trade restrictions resulting in fewer semiconductors utilizing our IP solutions being available for sale, our revenue would be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of our Agreements with Customers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revenue from period to period can be impacted by the terms of the agreements we enter into with our customers. For example, in 2023 we made certain changes to SIA agreements that result in the ratable recognition of the related license revenue over the contract term. As a result of how these contracts are structured and the revenue is recognized, our revenue in the year ended December 31, 2024, may not be comparable to future periods if we do not enter into similar contractual agreements. Further, a meaningful percentage of our revenue is generated through royalty payments. Because the time between a new license agreement win and the customer’s end product being sold can be substantial, with sales of the end product being subject to a number of factors outside our control, our revenue from royalties is difficult to predict. As a result of the foregoing, revenue may fluctuate significantly from period to period and any increase or decrease in such revenue may not be indicative of future period-to-period increases or decreases.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Technological Development and Market Growth</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believe our growth has been and will continue to be driven by technology trends in our end markets. For example, the requirements of smaller die size, lower power consumption, a higher frequency of operation and management of critical net latency in a timely and cost-effective manner for on-chip processing in the automotive, enterprise computing, communications, consumer electronics, and industrial markets have resulted in increased SoC design complexity for chips used in these markets. This trend in turn has created increased demand for in-licensing commercial semiconductor design IP, which in turn has positively impacted our revenue and growth.</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order to address technological developments such as the above and expand our offerings, we have invested significantly in our research and development efforts. These investments, which continue to include growth in engineering headcount, have resulted in substantially increased research and development expenses in recent periods. As we continue to invest in our technology and new product design efforts, we anticipate research and development expense will continue to increase on an absolute basis and as a percentage of revenue in the near term. In the medium to longer term, however, while we expect to increase our research and development expense on an absolute basis, we expect this expense to reduce as a percentage of revenue.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We will continue to evaluate growth opportunities through acquisitions of other businesses.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Operating Globally</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believe our products’ global footprint provides us with the opportunity to enter new markets and accelerate our growth. For 2024, 62.3% of our revenue was derived from sales to customers outside of the United States and 29.2% of our revenue was derived from customers located in China. For 2023, 65.4% of our revenue was derived from sales to customers outside of the United States and 31.1% of our revenue was derived from customers located in China. While we believe operating internationally has beneficially impacted our results of operations, we are subject to inherent risks attributed to operating in a global economy. Further, our international operations have been, and may in the future continue to be, subject to restrictive government regulations. For example, U.S. export regulations, including regulations announced on October 7, 2022 (as further amended), that impose broad end-use and other restrictions on doing business with certain customers and facilities in China that develop or produce semiconductor chips or manufacturing equipment, may limit or adversely impact our ability to license or support our products to entities in or doing business with certain advanced AI or “supercomputer” design companies, foundries and manufacturers of assemblies and components in China. As a result of these restrictions, our customers may experience changes to or delays in their design projects, and we may face challenges to maintain our revenue and/or our revenue may decrease.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Cyclical Nature of the Semiconductor Industry</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semiconductor industry in which our customers operate is highly cyclical and is characterized by increasingly rapid technological change, product obsolescence, competitive pricing pressures, evolving standards, short product life cycles, and fluctuations in product supply and demand. New technology may result in sudden changes in system designs or platform changes that may render some of our IP solutions obsolete and require us to devote significant research and development resources to compete effectively. Periods of rapid growth and capacity expansion are occasionally followed by significant market corrections in which our customers’ sales decline, inventories accumulate, and facilities go underutilized. During an expansion cycle, we may increase research and development hiring to add to our product offerings or spend more on sales and marketing to acquire new customers. During periods of slower growth or industry contractions, our sales generally suffer due to a decrease in customers’ Confirmed Design Starts or in sales of our customers’ products.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use the following key performance indicators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are presented for supplemental informational purposes only, should not be considered a substitute for financial information presented in accordance with generally accepted accounting principles in the United States (GAAP), and may differ from similarly titled metrics or measures used by other companies, securities analysts, or investors.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Contract Value</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define Annual Contract Value (ACV) for an individual customer agreement as the total fixed fees under the agreement divided by the number of years in the agreement term. Our total ACV is the aggregate ACVs for all our customers as measured at a given point in time. Total fixed fees include licensing, support and maintenance and other fixed fees under IP licensing or software licensing agreements but exclude variable revenue derived from licensing agreements with customers, particularly royalties. ACV was $60.7 million and $50.9 million as of December 31, 2024, and 2023, respectively. In addition, total ACV plus royalties was $65.1 million and $56.1 million as of December 31, 2024, and 2023, respectively. ACV plus royalties is calculated based on ACV and the trailing-twelve-months variable royalties and other revenue. We monitor ACV to measure our success and believe the increase in the number shows our progress in expanding our customers’ adoption of our platform. We believe ACV provides investors with useful information to assess the strength and trajectory of our business as growth demonstrates the expansion of customer adoption of our platform. ACV fluctuates due to a number of factors, including the timing, duration and dollar amount of customer contracts.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Active Customers</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define Active Customers as customers who have entered into a license agreement with us that remains in effect. The retention and expansion of our relationships with existing customers are key indicators of our revenue potential. We added 10 and 23 net new Active Customers during the years ended December 31, 2024, and 2023,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Confirmed Design Starts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define Confirmed Design Starts as when customers confirm their commencement of new semiconductor designs using our interconnect IP and notify us. Confirmed Design Starts is a metric management uses to assess the activity level of our customers in terms of the number of new semiconductor designs that are started using our interconnect IP in a given period. Our interconnect IP and NoC interface IP customer base contributed to a total of 76 and 95 design starts during the years ended December 31, 2024, and 2023, respectively. We believe that the number of Confirmed Design Starts is an important indicator of the growth of our business and future royalty revenue trends.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Remaining Performance Obligations</w:t>
      </w:r>
    </w:p>
    <w:p>
      <w:pPr>
        <w:spacing w:after="0" w:line="22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define Remaining Performance Obligations (RPO) as the amount of contracted future revenue that has not yet been recognized, including deferred revenue, billed and unbilled cancelable and non-cancelable contracted amounts.</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RPO amount is intended to provide visibility into future revenue streams. We expect RPO to fluctuate up or down from period to period for several reasons, including amounts, timing, and duration of customer contracts, as well as the timing of billing cycles for each contract. Our RPO was $88.4 million and $72.7 million as of December 31, 2024, and 2023,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Our revenue is primarily derived from licensing intellectual property, licensing software, support and maintenance services, professional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training services, and royalties. Our agreements often include other service elements including training and professional services which were immaterial for both the years ended December 31, 2024 and 2023.</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interconnect solutions product arrangements provide customers the right to software licenses, services, and support and maintenance. We enter into licensing arrangements with customers that typically range from two to three years and generally consist of delivery of a design license that grants the customer the right to use the IP to design a contractually defined number of products, a right to access the benefits of its proprietary software tool (RTL), and support and maintenance services that provide the customer a significant benefit from ongoing access to Corporate Application Engineers (CAE) and Field Application Engineers (FAE) (collectively, Application Engineer Support Services) to perform certain verifications including benchmark performance, simulations and ultimately, through the RTL, instantiate designs into silicon over the design term.</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Application Engineer Support Services are integral and fundamental to the customer’s ability to derive its intended benefit from the IP. Besides Application Engineer Support Services, support and maintenance services also consist of a stand-ready obligation to provide technical support and software updates over the support term. Generally, the first year of technical support and software updates are bundled with and into the license fee with a customer option to renew additional years of support throughout the license term. However, we may continue to provide technical support and software updates throughout the license term even if the customer does not renew these services in subsequent years, making the license term and support and maintenance term co-terminus.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Revenues that are derived from the sale of a licensee’s products that incorporate our IP are classified as royalty revenues. Royalty revenues are recognized during the quarter in which the sale of the product incorporating the IP occurs. Royalties are calculated either as a percentage of the revenues received by a licensee’s sale of products incorporating the IP or on a per unit basis, as specified in the agreements with the licensees. For the majority of our royalty revenues, we receive the actual sales data from our customers after the quarter ends and account for it as unbilled receivables. When we do not receive actual sales data from the customer prior to the finalization of our financial statements, royalty revenues are recognized based on our estimation of the customer’s sales during the quarter.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SIA products and CSRCompiler product arrangements provide customers with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Majority of our SIA solutions contracts include termination rights that allow the customer to cancel and receive a pro-rata refund on support and maintenance services at the end of each month of the contract period, which results in a ratable recognition of the related license revenue over the contract term.</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Cost of revenue: </w:t>
      </w:r>
      <w:r>
        <w:rPr>
          <w:rFonts w:ascii="Arial" w:cs="Arial" w:eastAsia="Arial" w:hAnsi="Arial"/>
          <w:sz w:val="17"/>
          <w:szCs w:val="17"/>
          <w:color w:val="auto"/>
        </w:rPr>
        <w:t>Cost of revenue relates to costs associated with our licensing agreements and support and maintenance, including applicable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FAE personnel-related costs such as stock-based compensation, travel, amortization of developed technology acquired intangibles and allocated overhead. We expect cost of revenue as a percentage of revenue to modestly decline over time due to productivity improvements of our FAE processes.</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Allocation of Overhead Costs: </w:t>
      </w:r>
      <w:r>
        <w:rPr>
          <w:rFonts w:ascii="Arial" w:cs="Arial" w:eastAsia="Arial" w:hAnsi="Arial"/>
          <w:sz w:val="17"/>
          <w:szCs w:val="17"/>
          <w:color w:val="auto"/>
        </w:rPr>
        <w:t>Overhead costs that are not substantially dedicated for use by a specific functional group are allocated based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headcount. Such costs include costs associated with office facilities, depreciation of property and equipment, certain support function personnel costs and other expenses.</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 xml:space="preserve">Research and development (R&amp;D) expenses: </w:t>
      </w:r>
      <w:r>
        <w:rPr>
          <w:rFonts w:ascii="Arial" w:cs="Arial" w:eastAsia="Arial" w:hAnsi="Arial"/>
          <w:sz w:val="17"/>
          <w:szCs w:val="17"/>
          <w:color w:val="auto"/>
        </w:rPr>
        <w:t>R&amp;D expenses consist primarily of salaries and associated personnel-related costs, facilities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expenses associated with research and development activities, third-party project-related expenses connected with the development of our intellectual property which are expensed as incurred, and stock-based compensation expense and other allocated costs. We expect R&amp;D expenses to increase in absolute terms and as a percentage of revenue in the short term and to continue to increase in absolute terms in the medium to long term but decrease as a percentage of revenue as certain new products are launched.</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Sales and marketing (S&amp;M) expenses: </w:t>
      </w:r>
      <w:r>
        <w:rPr>
          <w:rFonts w:ascii="Arial" w:cs="Arial" w:eastAsia="Arial" w:hAnsi="Arial"/>
          <w:sz w:val="17"/>
          <w:szCs w:val="17"/>
          <w:color w:val="auto"/>
        </w:rPr>
        <w:t>S&amp;M expenses consist primarily of salaries, commissions, travel and other costs associated with S&amp;M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activities, as well as advertising, trade show participation, public relations, and other marketing costs, stock-based compensation expenses and other allocated costs. We expect S&amp;M expenses to increase in absolute terms but decrease as a percentage of revenue due to productivity improvements of our sales processes.</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General and administrative (G&amp;A) expenses: </w:t>
      </w:r>
      <w:r>
        <w:rPr>
          <w:rFonts w:ascii="Arial" w:cs="Arial" w:eastAsia="Arial" w:hAnsi="Arial"/>
          <w:sz w:val="17"/>
          <w:szCs w:val="17"/>
          <w:color w:val="auto"/>
        </w:rPr>
        <w:t>G&amp;A expenses consist primarily of salaries for management and administrative employees,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depreciation, insurance costs, accounting, legal and consulting fees, other professional service fees, expenses related to the development of corporate initiatives and facilities expenses associated with G&amp;A activities and stock-based compensation expense, fees for directors and other allocated costs.</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incur additional expenses as a result of operating as a public company, including costs to comply with the rules and regulations applicable to companies listed on a national securities exchange, costs related to compliance and reporting obligations, and increased expenses for additional G&amp;A personnel, directors’ and officers’ insurance, investor relations, and professional services. We expect G&amp;A expenses to increase as our business grows. In addition, we expect G&amp;A expenses as a percentage of revenue to vary from period to period but generally decrease over the long term.</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consists primarily of interest expense on our vendor financing arrangements.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Other income (expense), net: </w:t>
      </w:r>
      <w:r>
        <w:rPr>
          <w:rFonts w:ascii="Arial" w:cs="Arial" w:eastAsia="Arial" w:hAnsi="Arial"/>
          <w:sz w:val="17"/>
          <w:szCs w:val="17"/>
          <w:color w:val="auto"/>
        </w:rPr>
        <w:t>Other income (expense), net consists primarily of interest income earned on our cash and cash equivalents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available-for-sale investments, gains and losses from foreign currency exchange, gain on deconsolidation of subsidiary, realized gains and losses from available-for-sale investments as well as deferred income.</w:t>
      </w:r>
    </w:p>
    <w:p>
      <w:pPr>
        <w:spacing w:after="0" w:line="13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i w:val="1"/>
          <w:iCs w:val="1"/>
          <w:color w:val="auto"/>
        </w:rPr>
        <w:t xml:space="preserve">Loss from equity method investment: </w:t>
      </w:r>
      <w:r>
        <w:rPr>
          <w:rFonts w:ascii="Arial" w:cs="Arial" w:eastAsia="Arial" w:hAnsi="Arial"/>
          <w:sz w:val="17"/>
          <w:szCs w:val="17"/>
          <w:color w:val="auto"/>
        </w:rPr>
        <w:t>Loss from equity method investment consists of our proportionate share of net losses from our equity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 investee.</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Our income tax provision consists primarily of income taxes in certain foreign jurisdictions in which we conduct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and includes foreign non-recoverable withholding taxes. We have a full valuation allowance against our U.S. federal and state deferred tax assets as the realization of the full amount of these deferred tax assets is uncertain, including net operating loss carryforwards and tax credits related primarily to research and development. We expect to maintain this full valuation allowance until it becomes more likely than not that the deferred tax assets will be realized.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8"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following table summarizes our GAAP results of operations for the periods presented. The results below are not necessarily indicative of results to be expected for future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20" w:type="dxa"/>
            <w:vAlign w:val="bottom"/>
          </w:tcPr>
          <w:p>
            <w:pPr>
              <w:spacing w:after="0"/>
              <w:rPr>
                <w:sz w:val="17"/>
                <w:szCs w:val="17"/>
                <w:color w:val="auto"/>
              </w:rPr>
            </w:pPr>
          </w:p>
        </w:tc>
        <w:tc>
          <w:tcPr>
            <w:tcW w:w="2840" w:type="dxa"/>
            <w:vAlign w:val="bottom"/>
            <w:tcBorders>
              <w:bottom w:val="single" w:sz="8" w:color="auto"/>
            </w:tcBorders>
            <w:gridSpan w:val="4"/>
          </w:tcPr>
          <w:p>
            <w:pPr>
              <w:jc w:val="center"/>
              <w:ind w:left="601"/>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0" w:type="dxa"/>
            <w:vAlign w:val="bottom"/>
            <w:gridSpan w:val="3"/>
          </w:tcPr>
          <w:p>
            <w:pPr>
              <w:jc w:val="center"/>
              <w:ind w:right="279"/>
              <w:spacing w:after="0"/>
              <w:rPr>
                <w:sz w:val="20"/>
                <w:szCs w:val="20"/>
                <w:color w:val="auto"/>
              </w:rPr>
            </w:pPr>
            <w:r>
              <w:rPr>
                <w:rFonts w:ascii="Arial" w:cs="Arial" w:eastAsia="Arial" w:hAnsi="Arial"/>
                <w:sz w:val="14"/>
                <w:szCs w:val="14"/>
                <w:i w:val="1"/>
                <w:iCs w:val="1"/>
                <w:color w:val="auto"/>
              </w:rPr>
              <w:t>(in thousands)</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57,724</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53,666</w:t>
            </w:r>
          </w:p>
        </w:tc>
        <w:tc>
          <w:tcPr>
            <w:tcW w:w="0" w:type="dxa"/>
            <w:vAlign w:val="bottom"/>
          </w:tcPr>
          <w:p>
            <w:pPr>
              <w:spacing w:after="0"/>
              <w:rPr>
                <w:sz w:val="1"/>
                <w:szCs w:val="1"/>
                <w:color w:val="auto"/>
              </w:rPr>
            </w:pPr>
          </w:p>
        </w:tc>
      </w:tr>
      <w:tr>
        <w:trPr>
          <w:trHeight w:val="257"/>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 xml:space="preserve">Cost of revenue </w:t>
            </w:r>
            <w:r>
              <w:rPr>
                <w:rFonts w:ascii="Arial" w:cs="Arial" w:eastAsia="Arial" w:hAnsi="Arial"/>
                <w:sz w:val="22"/>
                <w:szCs w:val="22"/>
                <w:color w:val="auto"/>
                <w:vertAlign w:val="superscript"/>
              </w:rPr>
              <w:t>(1)</w:t>
            </w:r>
          </w:p>
        </w:tc>
        <w:tc>
          <w:tcPr>
            <w:tcW w:w="1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5,962</w:t>
            </w:r>
          </w:p>
        </w:tc>
        <w:tc>
          <w:tcPr>
            <w:tcW w:w="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5,077</w:t>
            </w:r>
          </w:p>
        </w:tc>
        <w:tc>
          <w:tcPr>
            <w:tcW w:w="0" w:type="dxa"/>
            <w:vAlign w:val="bottom"/>
          </w:tcPr>
          <w:p>
            <w:pPr>
              <w:spacing w:after="0"/>
              <w:rPr>
                <w:sz w:val="1"/>
                <w:szCs w:val="1"/>
                <w:color w:val="auto"/>
              </w:rPr>
            </w:pPr>
          </w:p>
        </w:tc>
      </w:tr>
      <w:tr>
        <w:trPr>
          <w:trHeight w:val="237"/>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0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51,762</w:t>
            </w:r>
          </w:p>
        </w:tc>
        <w:tc>
          <w:tcPr>
            <w:tcW w:w="8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48,589</w:t>
            </w: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Research and development </w:t>
            </w:r>
            <w:r>
              <w:rPr>
                <w:rFonts w:ascii="Arial" w:cs="Arial" w:eastAsia="Arial" w:hAnsi="Arial"/>
                <w:sz w:val="22"/>
                <w:szCs w:val="22"/>
                <w:color w:val="auto"/>
                <w:vertAlign w:val="superscript"/>
              </w:rPr>
              <w:t>(1)</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45,007</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45,128</w:t>
            </w:r>
          </w:p>
        </w:tc>
        <w:tc>
          <w:tcPr>
            <w:tcW w:w="0" w:type="dxa"/>
            <w:vAlign w:val="bottom"/>
          </w:tcPr>
          <w:p>
            <w:pPr>
              <w:spacing w:after="0"/>
              <w:rPr>
                <w:sz w:val="1"/>
                <w:szCs w:val="1"/>
                <w:color w:val="auto"/>
              </w:rPr>
            </w:pPr>
          </w:p>
        </w:tc>
      </w:tr>
      <w:tr>
        <w:trPr>
          <w:trHeight w:val="256"/>
        </w:trPr>
        <w:tc>
          <w:tcPr>
            <w:tcW w:w="7720" w:type="dxa"/>
            <w:vAlign w:val="bottom"/>
          </w:tcPr>
          <w:p>
            <w:pPr>
              <w:ind w:left="20"/>
              <w:spacing w:after="0"/>
              <w:rPr>
                <w:sz w:val="20"/>
                <w:szCs w:val="20"/>
                <w:color w:val="auto"/>
              </w:rPr>
            </w:pPr>
            <w:r>
              <w:rPr>
                <w:rFonts w:ascii="Arial" w:cs="Arial" w:eastAsia="Arial" w:hAnsi="Arial"/>
                <w:sz w:val="17"/>
                <w:szCs w:val="17"/>
                <w:color w:val="auto"/>
              </w:rPr>
              <w:t xml:space="preserve">Sales and marketing </w:t>
            </w:r>
            <w:r>
              <w:rPr>
                <w:rFonts w:ascii="Arial" w:cs="Arial" w:eastAsia="Arial" w:hAnsi="Arial"/>
                <w:sz w:val="22"/>
                <w:szCs w:val="22"/>
                <w:color w:val="auto"/>
                <w:vertAlign w:val="superscript"/>
              </w:rPr>
              <w:t>(1)</w:t>
            </w:r>
          </w:p>
        </w:tc>
        <w:tc>
          <w:tcPr>
            <w:tcW w:w="10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20,796</w:t>
            </w: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20,659</w:t>
            </w:r>
          </w:p>
        </w:tc>
        <w:tc>
          <w:tcPr>
            <w:tcW w:w="0" w:type="dxa"/>
            <w:vAlign w:val="bottom"/>
          </w:tcPr>
          <w:p>
            <w:pPr>
              <w:spacing w:after="0"/>
              <w:rPr>
                <w:sz w:val="1"/>
                <w:szCs w:val="1"/>
                <w:color w:val="auto"/>
              </w:rPr>
            </w:pPr>
          </w:p>
        </w:tc>
      </w:tr>
      <w:tr>
        <w:trPr>
          <w:trHeight w:val="257"/>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General and administrative </w:t>
            </w:r>
            <w:r>
              <w:rPr>
                <w:rFonts w:ascii="Arial" w:cs="Arial" w:eastAsia="Arial" w:hAnsi="Arial"/>
                <w:sz w:val="22"/>
                <w:szCs w:val="22"/>
                <w:color w:val="auto"/>
                <w:vertAlign w:val="superscript"/>
              </w:rPr>
              <w:t>(1)</w:t>
            </w:r>
          </w:p>
        </w:tc>
        <w:tc>
          <w:tcPr>
            <w:tcW w:w="10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17,555</w:t>
            </w:r>
          </w:p>
        </w:tc>
        <w:tc>
          <w:tcPr>
            <w:tcW w:w="8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17,944</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83,358</w:t>
            </w:r>
          </w:p>
        </w:tc>
        <w:tc>
          <w:tcPr>
            <w:tcW w:w="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83,731</w:t>
            </w: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(31,596)</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(35,142)</w:t>
            </w:r>
          </w:p>
        </w:tc>
        <w:tc>
          <w:tcPr>
            <w:tcW w:w="0" w:type="dxa"/>
            <w:vAlign w:val="bottom"/>
          </w:tcPr>
          <w:p>
            <w:pPr>
              <w:spacing w:after="0"/>
              <w:rPr>
                <w:sz w:val="1"/>
                <w:szCs w:val="1"/>
                <w:color w:val="auto"/>
              </w:rPr>
            </w:pPr>
          </w:p>
        </w:tc>
      </w:tr>
      <w:tr>
        <w:trPr>
          <w:trHeight w:val="227"/>
        </w:trPr>
        <w:tc>
          <w:tcPr>
            <w:tcW w:w="772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(244)</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32"/>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0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3,400</w:t>
            </w:r>
          </w:p>
        </w:tc>
        <w:tc>
          <w:tcPr>
            <w:tcW w:w="8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3,558</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7"/>
                <w:szCs w:val="17"/>
                <w:color w:val="auto"/>
              </w:rPr>
              <w:t>Loss before income taxes and loss from equity method investment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(28,440)</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(31,795)</w:t>
            </w:r>
          </w:p>
        </w:tc>
        <w:tc>
          <w:tcPr>
            <w:tcW w:w="0" w:type="dxa"/>
            <w:vAlign w:val="bottom"/>
          </w:tcPr>
          <w:p>
            <w:pPr>
              <w:spacing w:after="0"/>
              <w:rPr>
                <w:sz w:val="1"/>
                <w:szCs w:val="1"/>
                <w:color w:val="auto"/>
              </w:rPr>
            </w:pPr>
          </w:p>
        </w:tc>
      </w:tr>
      <w:tr>
        <w:trPr>
          <w:trHeight w:val="263"/>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equity method investment, net of tax</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2,698</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3,397</w:t>
            </w:r>
          </w:p>
        </w:tc>
        <w:tc>
          <w:tcPr>
            <w:tcW w:w="0" w:type="dxa"/>
            <w:vAlign w:val="bottom"/>
          </w:tcPr>
          <w:p>
            <w:pPr>
              <w:spacing w:after="0"/>
              <w:rPr>
                <w:sz w:val="1"/>
                <w:szCs w:val="1"/>
                <w:color w:val="auto"/>
              </w:rPr>
            </w:pPr>
          </w:p>
        </w:tc>
      </w:tr>
      <w:tr>
        <w:trPr>
          <w:trHeight w:val="25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10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2,500</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1,677</w:t>
            </w:r>
          </w:p>
        </w:tc>
        <w:tc>
          <w:tcPr>
            <w:tcW w:w="0" w:type="dxa"/>
            <w:vAlign w:val="bottom"/>
          </w:tcPr>
          <w:p>
            <w:pPr>
              <w:spacing w:after="0"/>
              <w:rPr>
                <w:sz w:val="1"/>
                <w:szCs w:val="1"/>
                <w:color w:val="auto"/>
              </w:rPr>
            </w:pPr>
          </w:p>
        </w:tc>
      </w:tr>
      <w:tr>
        <w:trPr>
          <w:trHeight w:val="25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(33,638)</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(36,869)</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4"/>
                <w:szCs w:val="14"/>
                <w:color w:val="auto"/>
              </w:rPr>
              <w:t>(1)  Includes stock-based compensation expense as follows: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vMerge w:val="continue"/>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7720" w:type="dxa"/>
            <w:vAlign w:val="bottom"/>
          </w:tcPr>
          <w:p>
            <w:pPr>
              <w:spacing w:after="0"/>
              <w:rPr>
                <w:sz w:val="24"/>
                <w:szCs w:val="24"/>
                <w:color w:val="auto"/>
              </w:rPr>
            </w:pPr>
          </w:p>
        </w:tc>
        <w:tc>
          <w:tcPr>
            <w:tcW w:w="2840" w:type="dxa"/>
            <w:vAlign w:val="bottom"/>
            <w:tcBorders>
              <w:bottom w:val="single" w:sz="8" w:color="auto"/>
            </w:tcBorders>
            <w:gridSpan w:val="4"/>
          </w:tcPr>
          <w:p>
            <w:pPr>
              <w:jc w:val="center"/>
              <w:ind w:left="601"/>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7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0" w:type="dxa"/>
            <w:vAlign w:val="bottom"/>
            <w:gridSpan w:val="3"/>
          </w:tcPr>
          <w:p>
            <w:pPr>
              <w:jc w:val="center"/>
              <w:ind w:right="279"/>
              <w:spacing w:after="0"/>
              <w:rPr>
                <w:sz w:val="20"/>
                <w:szCs w:val="20"/>
                <w:color w:val="auto"/>
              </w:rPr>
            </w:pPr>
            <w:r>
              <w:rPr>
                <w:rFonts w:ascii="Arial" w:cs="Arial" w:eastAsia="Arial" w:hAnsi="Arial"/>
                <w:sz w:val="14"/>
                <w:szCs w:val="14"/>
                <w:i w:val="1"/>
                <w:iCs w:val="1"/>
                <w:color w:val="auto"/>
              </w:rPr>
              <w:t>(in thousands)</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0" w:type="dxa"/>
            <w:vAlign w:val="bottom"/>
          </w:tcPr>
          <w:p>
            <w:pPr>
              <w:spacing w:after="0"/>
              <w:rPr>
                <w:sz w:val="1"/>
                <w:szCs w:val="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7,509</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7,324</w:t>
            </w:r>
          </w:p>
        </w:tc>
        <w:tc>
          <w:tcPr>
            <w:tcW w:w="0" w:type="dxa"/>
            <w:vAlign w:val="bottom"/>
          </w:tcPr>
          <w:p>
            <w:pPr>
              <w:spacing w:after="0"/>
              <w:rPr>
                <w:sz w:val="1"/>
                <w:szCs w:val="1"/>
                <w:color w:val="auto"/>
              </w:rPr>
            </w:pPr>
          </w:p>
        </w:tc>
      </w:tr>
      <w:tr>
        <w:trPr>
          <w:trHeight w:val="263"/>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3,079</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2,712</w:t>
            </w:r>
          </w:p>
        </w:tc>
        <w:tc>
          <w:tcPr>
            <w:tcW w:w="0" w:type="dxa"/>
            <w:vAlign w:val="bottom"/>
          </w:tcPr>
          <w:p>
            <w:pPr>
              <w:spacing w:after="0"/>
              <w:rPr>
                <w:sz w:val="1"/>
                <w:szCs w:val="1"/>
                <w:color w:val="auto"/>
              </w:rPr>
            </w:pPr>
          </w:p>
        </w:tc>
      </w:tr>
      <w:tr>
        <w:trPr>
          <w:trHeight w:val="25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10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4,567</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3,943</w:t>
            </w:r>
          </w:p>
        </w:tc>
        <w:tc>
          <w:tcPr>
            <w:tcW w:w="0" w:type="dxa"/>
            <w:vAlign w:val="bottom"/>
          </w:tcPr>
          <w:p>
            <w:pPr>
              <w:spacing w:after="0"/>
              <w:rPr>
                <w:sz w:val="1"/>
                <w:szCs w:val="1"/>
                <w:color w:val="auto"/>
              </w:rPr>
            </w:pPr>
          </w:p>
        </w:tc>
      </w:tr>
      <w:tr>
        <w:trPr>
          <w:trHeight w:val="255"/>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15,938</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14,535</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as a percentage of total revenue for each of the periods indicated:</w:t>
      </w:r>
    </w:p>
    <w:p>
      <w:pPr>
        <w:spacing w:after="0" w:line="236"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5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190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top w:val="single" w:sz="8" w:color="auto"/>
              <w:bottom w:val="single" w:sz="8" w:color="auto"/>
            </w:tcBorders>
          </w:tcPr>
          <w:p>
            <w:pPr>
              <w:spacing w:after="0"/>
              <w:rPr>
                <w:sz w:val="18"/>
                <w:szCs w:val="18"/>
                <w:color w:val="auto"/>
              </w:rPr>
            </w:pPr>
          </w:p>
        </w:tc>
      </w:tr>
      <w:tr>
        <w:trPr>
          <w:trHeight w:val="193"/>
        </w:trPr>
        <w:tc>
          <w:tcPr>
            <w:tcW w:w="7520" w:type="dxa"/>
            <w:vAlign w:val="bottom"/>
          </w:tcPr>
          <w:p>
            <w:pPr>
              <w:spacing w:after="0"/>
              <w:rPr>
                <w:sz w:val="16"/>
                <w:szCs w:val="16"/>
                <w:color w:val="auto"/>
              </w:rPr>
            </w:pPr>
          </w:p>
        </w:tc>
        <w:tc>
          <w:tcPr>
            <w:tcW w:w="3100" w:type="dxa"/>
            <w:vAlign w:val="bottom"/>
            <w:gridSpan w:val="4"/>
          </w:tcPr>
          <w:p>
            <w:pPr>
              <w:jc w:val="right"/>
              <w:ind w:right="160"/>
              <w:spacing w:after="0"/>
              <w:rPr>
                <w:sz w:val="20"/>
                <w:szCs w:val="20"/>
                <w:color w:val="auto"/>
              </w:rPr>
            </w:pPr>
            <w:r>
              <w:rPr>
                <w:rFonts w:ascii="Arial" w:cs="Arial" w:eastAsia="Arial" w:hAnsi="Arial"/>
                <w:sz w:val="14"/>
                <w:szCs w:val="14"/>
                <w:i w:val="1"/>
                <w:iCs w:val="1"/>
                <w:color w:val="auto"/>
              </w:rPr>
              <w:t>(as a percentage of total revenue)</w:t>
            </w:r>
          </w:p>
        </w:tc>
        <w:tc>
          <w:tcPr>
            <w:tcW w:w="620" w:type="dxa"/>
            <w:vAlign w:val="bottom"/>
          </w:tcPr>
          <w:p>
            <w:pPr>
              <w:spacing w:after="0"/>
              <w:rPr>
                <w:sz w:val="16"/>
                <w:szCs w:val="16"/>
                <w:color w:val="auto"/>
              </w:rPr>
            </w:pPr>
          </w:p>
        </w:tc>
      </w:tr>
      <w:tr>
        <w:trPr>
          <w:trHeight w:val="261"/>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50"/>
        </w:trPr>
        <w:tc>
          <w:tcPr>
            <w:tcW w:w="8720" w:type="dxa"/>
            <w:vAlign w:val="bottom"/>
            <w:gridSpan w:val="2"/>
          </w:tcPr>
          <w:p>
            <w:pPr>
              <w:ind w:left="20"/>
              <w:spacing w:after="0"/>
              <w:rPr>
                <w:sz w:val="20"/>
                <w:szCs w:val="20"/>
                <w:color w:val="auto"/>
              </w:rPr>
            </w:pPr>
            <w:r>
              <w:rPr>
                <w:rFonts w:ascii="Arial" w:cs="Arial" w:eastAsia="Arial" w:hAnsi="Arial"/>
                <w:sz w:val="17"/>
                <w:szCs w:val="17"/>
                <w:color w:val="auto"/>
              </w:rPr>
              <w:t>Cost of revenue</w:t>
            </w:r>
          </w:p>
        </w:tc>
        <w:tc>
          <w:tcPr>
            <w:tcW w:w="620" w:type="dxa"/>
            <w:vAlign w:val="bottom"/>
          </w:tcPr>
          <w:p>
            <w:pPr>
              <w:jc w:val="right"/>
              <w:ind w:right="135"/>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jc w:val="right"/>
              <w:ind w:right="135"/>
              <w:spacing w:after="0"/>
              <w:rPr>
                <w:sz w:val="20"/>
                <w:szCs w:val="20"/>
                <w:color w:val="auto"/>
              </w:rPr>
            </w:pPr>
            <w:r>
              <w:rPr>
                <w:rFonts w:ascii="Arial" w:cs="Arial" w:eastAsia="Arial" w:hAnsi="Arial"/>
                <w:sz w:val="17"/>
                <w:szCs w:val="17"/>
                <w:color w:val="auto"/>
              </w:rPr>
              <w:t>9</w:t>
            </w:r>
          </w:p>
        </w:tc>
      </w:tr>
      <w:tr>
        <w:trPr>
          <w:trHeight w:val="243"/>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20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90</w:t>
            </w: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91</w:t>
            </w:r>
          </w:p>
        </w:tc>
      </w:tr>
      <w:tr>
        <w:trPr>
          <w:trHeight w:val="210"/>
        </w:trPr>
        <w:tc>
          <w:tcPr>
            <w:tcW w:w="75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7"/>
        </w:trPr>
        <w:tc>
          <w:tcPr>
            <w:tcW w:w="7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7"/>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6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84</w:t>
            </w:r>
          </w:p>
        </w:tc>
      </w:tr>
      <w:tr>
        <w:trPr>
          <w:trHeight w:val="250"/>
        </w:trPr>
        <w:tc>
          <w:tcPr>
            <w:tcW w:w="8720" w:type="dxa"/>
            <w:vAlign w:val="bottom"/>
            <w:gridSpan w:val="2"/>
          </w:tcPr>
          <w:p>
            <w:pPr>
              <w:ind w:left="20"/>
              <w:spacing w:after="0"/>
              <w:rPr>
                <w:sz w:val="20"/>
                <w:szCs w:val="20"/>
                <w:color w:val="auto"/>
              </w:rPr>
            </w:pPr>
            <w:r>
              <w:rPr>
                <w:rFonts w:ascii="Arial" w:cs="Arial" w:eastAsia="Arial" w:hAnsi="Arial"/>
                <w:sz w:val="17"/>
                <w:szCs w:val="17"/>
                <w:color w:val="auto"/>
              </w:rPr>
              <w:t>Sales and marketing</w:t>
            </w:r>
          </w:p>
        </w:tc>
        <w:tc>
          <w:tcPr>
            <w:tcW w:w="620" w:type="dxa"/>
            <w:vAlign w:val="bottom"/>
          </w:tcPr>
          <w:p>
            <w:pPr>
              <w:jc w:val="right"/>
              <w:ind w:right="135"/>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jc w:val="right"/>
              <w:ind w:right="135"/>
              <w:spacing w:after="0"/>
              <w:rPr>
                <w:sz w:val="20"/>
                <w:szCs w:val="20"/>
                <w:color w:val="auto"/>
              </w:rPr>
            </w:pPr>
            <w:r>
              <w:rPr>
                <w:rFonts w:ascii="Arial" w:cs="Arial" w:eastAsia="Arial" w:hAnsi="Arial"/>
                <w:sz w:val="17"/>
                <w:szCs w:val="17"/>
                <w:color w:val="auto"/>
              </w:rPr>
              <w:t>38</w:t>
            </w:r>
          </w:p>
        </w:tc>
      </w:tr>
      <w:tr>
        <w:trPr>
          <w:trHeight w:val="263"/>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6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33</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1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144</w:t>
            </w:r>
          </w:p>
        </w:tc>
        <w:tc>
          <w:tcPr>
            <w:tcW w:w="100" w:type="dxa"/>
            <w:vAlign w:val="bottom"/>
            <w:tcBorders>
              <w:bottom w:val="single" w:sz="8" w:color="CCEEFF"/>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155</w:t>
            </w:r>
          </w:p>
        </w:tc>
      </w:tr>
      <w:tr>
        <w:trPr>
          <w:trHeight w:val="243"/>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200" w:type="dxa"/>
            <w:vAlign w:val="bottom"/>
            <w:shd w:val="clear" w:color="auto" w:fill="CCEEFF"/>
          </w:tcPr>
          <w:p>
            <w:pPr>
              <w:spacing w:after="0"/>
              <w:rPr>
                <w:sz w:val="21"/>
                <w:szCs w:val="21"/>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(64)</w:t>
            </w:r>
          </w:p>
        </w:tc>
      </w:tr>
      <w:tr>
        <w:trPr>
          <w:trHeight w:val="227"/>
        </w:trPr>
        <w:tc>
          <w:tcPr>
            <w:tcW w:w="8720" w:type="dxa"/>
            <w:vAlign w:val="bottom"/>
            <w:gridSpan w:val="2"/>
          </w:tcPr>
          <w:p>
            <w:pPr>
              <w:ind w:left="20"/>
              <w:spacing w:after="0"/>
              <w:rPr>
                <w:sz w:val="20"/>
                <w:szCs w:val="20"/>
                <w:color w:val="auto"/>
              </w:rPr>
            </w:pPr>
            <w:r>
              <w:rPr>
                <w:rFonts w:ascii="Arial" w:cs="Arial" w:eastAsia="Arial" w:hAnsi="Arial"/>
                <w:sz w:val="17"/>
                <w:szCs w:val="17"/>
                <w:color w:val="auto"/>
              </w:rPr>
              <w:t>Interest expense</w:t>
            </w:r>
          </w:p>
        </w:tc>
        <w:tc>
          <w:tcPr>
            <w:tcW w:w="1900" w:type="dxa"/>
            <w:vAlign w:val="bottom"/>
            <w:gridSpan w:val="3"/>
          </w:tcPr>
          <w:p>
            <w:pPr>
              <w:jc w:val="right"/>
              <w:ind w:right="1500"/>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3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6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w:t>
            </w:r>
          </w:p>
        </w:tc>
      </w:tr>
      <w:tr>
        <w:trPr>
          <w:trHeight w:val="230"/>
        </w:trPr>
        <w:tc>
          <w:tcPr>
            <w:tcW w:w="7520" w:type="dxa"/>
            <w:vAlign w:val="bottom"/>
          </w:tcPr>
          <w:p>
            <w:pPr>
              <w:ind w:left="20"/>
              <w:spacing w:after="0"/>
              <w:rPr>
                <w:sz w:val="20"/>
                <w:szCs w:val="20"/>
                <w:color w:val="auto"/>
              </w:rPr>
            </w:pPr>
            <w:r>
              <w:rPr>
                <w:rFonts w:ascii="Arial" w:cs="Arial" w:eastAsia="Arial" w:hAnsi="Arial"/>
                <w:sz w:val="17"/>
                <w:szCs w:val="17"/>
                <w:color w:val="auto"/>
              </w:rPr>
              <w:t>Loss before income taxes and loss from equity method investment</w:t>
            </w:r>
          </w:p>
        </w:tc>
        <w:tc>
          <w:tcPr>
            <w:tcW w:w="1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auto"/>
              </w:rPr>
              <w:t>(57)</w:t>
            </w:r>
          </w:p>
        </w:tc>
      </w:tr>
      <w:tr>
        <w:trPr>
          <w:trHeight w:val="263"/>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from equity method investment, net of tax</w:t>
            </w:r>
          </w:p>
        </w:tc>
        <w:tc>
          <w:tcPr>
            <w:tcW w:w="6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6</w:t>
            </w:r>
          </w:p>
        </w:tc>
      </w:tr>
      <w:tr>
        <w:trPr>
          <w:trHeight w:val="25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1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w:t>
            </w:r>
          </w:p>
        </w:tc>
      </w:tr>
      <w:tr>
        <w:trPr>
          <w:trHeight w:val="24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(66)%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2024, and 2023</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7"/>
                <w:szCs w:val="17"/>
                <w:color w:val="auto"/>
              </w:rPr>
            </w:pPr>
          </w:p>
        </w:tc>
        <w:tc>
          <w:tcPr>
            <w:tcW w:w="1660" w:type="dxa"/>
            <w:vAlign w:val="bottom"/>
            <w:gridSpan w:val="3"/>
          </w:tcPr>
          <w:p>
            <w:pPr>
              <w:ind w:left="90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7"/>
                <w:szCs w:val="17"/>
                <w:color w:val="auto"/>
              </w:rPr>
            </w:pPr>
          </w:p>
        </w:tc>
      </w:tr>
      <w:tr>
        <w:trPr>
          <w:trHeight w:val="196"/>
        </w:trPr>
        <w:tc>
          <w:tcPr>
            <w:tcW w:w="498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w:t>
            </w:r>
          </w:p>
        </w:tc>
      </w:tr>
      <w:tr>
        <w:trPr>
          <w:trHeight w:val="196"/>
        </w:trPr>
        <w:tc>
          <w:tcPr>
            <w:tcW w:w="4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8"/>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Licensing, support and maintenance</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52,815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48,273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4,542</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w:t>
            </w:r>
          </w:p>
        </w:tc>
      </w:tr>
      <w:tr>
        <w:trPr>
          <w:trHeight w:val="250"/>
        </w:trPr>
        <w:tc>
          <w:tcPr>
            <w:tcW w:w="4980" w:type="dxa"/>
            <w:vAlign w:val="bottom"/>
          </w:tcPr>
          <w:p>
            <w:pPr>
              <w:ind w:left="20"/>
              <w:spacing w:after="0"/>
              <w:rPr>
                <w:sz w:val="20"/>
                <w:szCs w:val="20"/>
                <w:color w:val="auto"/>
              </w:rPr>
            </w:pPr>
            <w:r>
              <w:rPr>
                <w:rFonts w:ascii="Arial" w:cs="Arial" w:eastAsia="Arial" w:hAnsi="Arial"/>
                <w:sz w:val="17"/>
                <w:szCs w:val="17"/>
                <w:color w:val="auto"/>
              </w:rPr>
              <w:t>Variable royalties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5,158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(753)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57"/>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114 %</w:t>
            </w:r>
          </w:p>
        </w:tc>
      </w:tr>
      <w:tr>
        <w:trPr>
          <w:trHeight w:val="229"/>
        </w:trPr>
        <w:tc>
          <w:tcPr>
            <w:tcW w:w="4980" w:type="dxa"/>
            <w:vAlign w:val="bottom"/>
          </w:tcPr>
          <w:p>
            <w:pPr>
              <w:ind w:left="14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53,666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8 %</w:t>
            </w:r>
          </w:p>
        </w:tc>
      </w:tr>
      <w:tr>
        <w:trPr>
          <w:trHeight w:val="21"/>
        </w:trPr>
        <w:tc>
          <w:tcPr>
            <w:tcW w:w="4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Revenue from licensing, support and maintenance increased $4.5 million for the year ended December 31, 2024, compared to the year ended December 31, 2023. The increase was primarily due to new license arrangements with existing customers, and the addition of new customers. The decline in variable royalty revenue was primarily due to revenue from royalty audits in the year ended December 31, 2023. Other revenue increased for the year ended December 31, 2024, compared to the year ended December 31, 2023, due to timing of completion of professional services.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8"/>
                <w:szCs w:val="18"/>
                <w:color w:val="auto"/>
              </w:rPr>
            </w:pPr>
          </w:p>
        </w:tc>
        <w:tc>
          <w:tcPr>
            <w:tcW w:w="1660" w:type="dxa"/>
            <w:vAlign w:val="bottom"/>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8"/>
                <w:szCs w:val="18"/>
                <w:color w:val="auto"/>
              </w:rPr>
            </w:pPr>
          </w:p>
        </w:tc>
      </w:tr>
      <w:tr>
        <w:trPr>
          <w:trHeight w:val="223"/>
        </w:trPr>
        <w:tc>
          <w:tcPr>
            <w:tcW w:w="49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w:t>
            </w:r>
          </w:p>
        </w:tc>
      </w:tr>
      <w:tr>
        <w:trPr>
          <w:trHeight w:val="196"/>
        </w:trPr>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8"/>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5,962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5,077</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885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r>
    </w:tbl>
    <w:p>
      <w:pPr>
        <w:spacing w:after="0" w:line="22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Cost of revenue increased $0.9 million or 17% for the year ended December 31, 2024, from $5.1 million for the year ended December 31, 2023 The increase in cost of revenue during the year ended December 31, 2024, was primarily due to higher FAE employee-related expenses.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8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8"/>
                <w:szCs w:val="18"/>
                <w:color w:val="auto"/>
              </w:rPr>
            </w:pPr>
          </w:p>
        </w:tc>
        <w:tc>
          <w:tcPr>
            <w:tcW w:w="1680" w:type="dxa"/>
            <w:vAlign w:val="bottom"/>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8"/>
                <w:szCs w:val="18"/>
                <w:color w:val="auto"/>
              </w:rPr>
            </w:pPr>
          </w:p>
        </w:tc>
      </w:tr>
      <w:tr>
        <w:trPr>
          <w:trHeight w:val="223"/>
        </w:trPr>
        <w:tc>
          <w:tcPr>
            <w:tcW w:w="49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w:t>
            </w:r>
          </w:p>
        </w:tc>
      </w:tr>
      <w:tr>
        <w:trPr>
          <w:trHeight w:val="196"/>
        </w:trPr>
        <w:tc>
          <w:tcPr>
            <w:tcW w:w="4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8"/>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45,128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center"/>
              <w:ind w:left="519"/>
              <w:spacing w:after="0"/>
              <w:rPr>
                <w:sz w:val="20"/>
                <w:szCs w:val="20"/>
                <w:color w:val="auto"/>
              </w:rPr>
            </w:pPr>
            <w:r>
              <w:rPr>
                <w:rFonts w:ascii="Arial" w:cs="Arial" w:eastAsia="Arial" w:hAnsi="Arial"/>
                <w:sz w:val="17"/>
                <w:szCs w:val="17"/>
                <w:color w:val="auto"/>
              </w:rPr>
              <w:t>(121)</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50"/>
        </w:trPr>
        <w:tc>
          <w:tcPr>
            <w:tcW w:w="4940" w:type="dxa"/>
            <w:vAlign w:val="bottom"/>
          </w:tcPr>
          <w:p>
            <w:pPr>
              <w:ind w:left="20"/>
              <w:spacing w:after="0"/>
              <w:rPr>
                <w:sz w:val="20"/>
                <w:szCs w:val="20"/>
                <w:color w:val="auto"/>
              </w:rPr>
            </w:pPr>
            <w:r>
              <w:rPr>
                <w:rFonts w:ascii="Arial" w:cs="Arial" w:eastAsia="Arial" w:hAnsi="Arial"/>
                <w:sz w:val="17"/>
                <w:szCs w:val="17"/>
                <w:color w:val="auto"/>
              </w:rPr>
              <w:t>Sales and marketing</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20,796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20,659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center"/>
              <w:ind w:left="559"/>
              <w:spacing w:after="0"/>
              <w:rPr>
                <w:sz w:val="20"/>
                <w:szCs w:val="20"/>
                <w:color w:val="auto"/>
              </w:rPr>
            </w:pPr>
            <w:r>
              <w:rPr>
                <w:rFonts w:ascii="Arial" w:cs="Arial" w:eastAsia="Arial" w:hAnsi="Arial"/>
                <w:sz w:val="17"/>
                <w:szCs w:val="17"/>
                <w:color w:val="auto"/>
                <w:w w:val="98"/>
              </w:rPr>
              <w:t>137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1 %</w:t>
            </w:r>
          </w:p>
        </w:tc>
      </w:tr>
      <w:tr>
        <w:trPr>
          <w:trHeight w:val="257"/>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17,555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17,944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center"/>
              <w:ind w:left="519"/>
              <w:spacing w:after="0"/>
              <w:rPr>
                <w:sz w:val="20"/>
                <w:szCs w:val="20"/>
                <w:color w:val="auto"/>
              </w:rPr>
            </w:pPr>
            <w:r>
              <w:rPr>
                <w:rFonts w:ascii="Arial" w:cs="Arial" w:eastAsia="Arial" w:hAnsi="Arial"/>
                <w:sz w:val="17"/>
                <w:szCs w:val="17"/>
                <w:color w:val="auto"/>
              </w:rPr>
              <w:t>(389)</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9"/>
        </w:trPr>
        <w:tc>
          <w:tcPr>
            <w:tcW w:w="494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83,358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83,731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center"/>
              <w:ind w:left="519"/>
              <w:spacing w:after="0"/>
              <w:rPr>
                <w:sz w:val="20"/>
                <w:szCs w:val="20"/>
                <w:color w:val="auto"/>
              </w:rPr>
            </w:pPr>
            <w:r>
              <w:rPr>
                <w:rFonts w:ascii="Arial" w:cs="Arial" w:eastAsia="Arial" w:hAnsi="Arial"/>
                <w:sz w:val="17"/>
                <w:szCs w:val="17"/>
                <w:color w:val="auto"/>
              </w:rPr>
              <w:t>(373)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1"/>
        </w:trPr>
        <w:tc>
          <w:tcPr>
            <w:tcW w:w="4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R&amp;D expenses decreased $0.1 million, to $45.0 million for the year ended December 31, 2024, from $45.1 million for the year ended December 31, 2023. The decrease in R&amp;D expenses was primarily attributable to $0.9 million of grants received by our subsidiary in France for R&amp;D projects, which were partially offset by higher professional fees of $0.4 million, higher employee-related costs of $0.4 million, including stock-based compensation expense .</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expenses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S&amp;M expenses increased $0.1 million, or 1%, to $20.8 million for the year ended December 31, 2024, from $20.7 million for the year ended December 31, 2023. The increase in S&amp;M expenses was primarily due to higher company-wide event costs of $0.1 million related to an in-person sales event.</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G&amp;A expenses decreased $0.4 million, or 2%, to $17.6 million for the year ended December 31, 2024, from $17.9 million for the year ended December 31, 2023. The decrease in G&amp;A expenses was primarily due to lower professional fees of $1.1 million, predominantly related to our intellectual property litigation, and lower directors and officers liability insurance expenses of $0.4 million, partially offset by higher employee-related costs of $1.0 million including stock-based compensation expense of $0.6 million.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8"/>
                <w:szCs w:val="18"/>
                <w:color w:val="auto"/>
              </w:rPr>
            </w:pPr>
          </w:p>
        </w:tc>
        <w:tc>
          <w:tcPr>
            <w:tcW w:w="1660" w:type="dxa"/>
            <w:vAlign w:val="bottom"/>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8"/>
                <w:szCs w:val="18"/>
                <w:color w:val="auto"/>
              </w:rPr>
            </w:pPr>
          </w:p>
        </w:tc>
      </w:tr>
      <w:tr>
        <w:trPr>
          <w:trHeight w:val="223"/>
        </w:trPr>
        <w:tc>
          <w:tcPr>
            <w:tcW w:w="49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w:t>
            </w:r>
          </w:p>
        </w:tc>
      </w:tr>
      <w:tr>
        <w:trPr>
          <w:trHeight w:val="196"/>
        </w:trPr>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8"/>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16 %</w:t>
            </w:r>
          </w:p>
        </w:tc>
      </w:tr>
    </w:tbl>
    <w:p>
      <w:pPr>
        <w:spacing w:after="0" w:line="221" w:lineRule="exact"/>
        <w:rPr>
          <w:sz w:val="20"/>
          <w:szCs w:val="20"/>
          <w:color w:val="auto"/>
        </w:rPr>
      </w:pPr>
    </w:p>
    <w:p>
      <w:pPr>
        <w:ind w:right="1400"/>
        <w:spacing w:after="0" w:line="496" w:lineRule="auto"/>
        <w:rPr>
          <w:sz w:val="20"/>
          <w:szCs w:val="20"/>
          <w:color w:val="auto"/>
        </w:rPr>
      </w:pPr>
      <w:r>
        <w:rPr>
          <w:rFonts w:ascii="Arial" w:cs="Arial" w:eastAsia="Arial" w:hAnsi="Arial"/>
          <w:sz w:val="17"/>
          <w:szCs w:val="17"/>
          <w:color w:val="auto"/>
        </w:rPr>
        <w:t xml:space="preserve">Interest expense for the year ended December 31, 2024, remained relatively flat compared to the year ended December 31, 2023. </w:t>
      </w:r>
      <w:r>
        <w:rPr>
          <w:rFonts w:ascii="Arial" w:cs="Arial" w:eastAsia="Arial" w:hAnsi="Arial"/>
          <w:sz w:val="17"/>
          <w:szCs w:val="17"/>
          <w:b w:val="1"/>
          <w:bCs w:val="1"/>
          <w:i w:val="1"/>
          <w:iCs w:val="1"/>
          <w:color w:val="auto"/>
        </w:rPr>
        <w:t>Other income (expense),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80" w:type="dxa"/>
            <w:vAlign w:val="bottom"/>
            <w:gridSpan w:val="4"/>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8"/>
                <w:szCs w:val="18"/>
                <w:color w:val="auto"/>
              </w:rPr>
            </w:pPr>
          </w:p>
        </w:tc>
        <w:tc>
          <w:tcPr>
            <w:tcW w:w="1680" w:type="dxa"/>
            <w:vAlign w:val="bottom"/>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8"/>
                <w:szCs w:val="18"/>
                <w:color w:val="auto"/>
              </w:rPr>
            </w:pPr>
          </w:p>
        </w:tc>
      </w:tr>
      <w:tr>
        <w:trPr>
          <w:trHeight w:val="223"/>
        </w:trPr>
        <w:tc>
          <w:tcPr>
            <w:tcW w:w="49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w:t>
            </w:r>
          </w:p>
        </w:tc>
      </w:tr>
      <w:tr>
        <w:trPr>
          <w:trHeight w:val="196"/>
        </w:trPr>
        <w:tc>
          <w:tcPr>
            <w:tcW w:w="4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8"/>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3,400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Other income (expense), net for the year ended December 31, 2024, remained relatively flat compared to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from equity method investment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8"/>
                <w:szCs w:val="18"/>
                <w:color w:val="auto"/>
              </w:rPr>
            </w:pPr>
          </w:p>
        </w:tc>
        <w:tc>
          <w:tcPr>
            <w:tcW w:w="1660" w:type="dxa"/>
            <w:vAlign w:val="bottom"/>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8"/>
                <w:szCs w:val="18"/>
                <w:color w:val="auto"/>
              </w:rPr>
            </w:pPr>
          </w:p>
        </w:tc>
      </w:tr>
      <w:tr>
        <w:trPr>
          <w:trHeight w:val="223"/>
        </w:trPr>
        <w:tc>
          <w:tcPr>
            <w:tcW w:w="49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w:t>
            </w:r>
          </w:p>
        </w:tc>
      </w:tr>
      <w:tr>
        <w:trPr>
          <w:trHeight w:val="196"/>
        </w:trPr>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8"/>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equity method investment</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2,698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3,397</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Loss from equity method investment was $2.7 million for the year ended December 31, 2024, compared to $3.4 million for the year ended December 31, 2023, representing our proportionate share of Transchip’s net loss during the trailing twelve months ended September 30, 2024. Such losses are expected to continue in the near future.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8"/>
                <w:szCs w:val="18"/>
                <w:color w:val="auto"/>
              </w:rPr>
            </w:pPr>
          </w:p>
        </w:tc>
        <w:tc>
          <w:tcPr>
            <w:tcW w:w="1660" w:type="dxa"/>
            <w:vAlign w:val="bottom"/>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8"/>
                <w:szCs w:val="18"/>
                <w:color w:val="auto"/>
              </w:rPr>
            </w:pPr>
          </w:p>
        </w:tc>
      </w:tr>
      <w:tr>
        <w:trPr>
          <w:trHeight w:val="223"/>
        </w:trPr>
        <w:tc>
          <w:tcPr>
            <w:tcW w:w="49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w:t>
            </w:r>
          </w:p>
        </w:tc>
      </w:tr>
      <w:tr>
        <w:trPr>
          <w:trHeight w:val="196"/>
        </w:trPr>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8"/>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2,500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1,677</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823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49 %</w:t>
            </w:r>
          </w:p>
        </w:tc>
      </w:tr>
    </w:tbl>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provision for income taxes for the year ended December 31, 2024 was $2.5 million, compared to $1.7 million for the year ended December 31, 2023. The increase in our income tax expense was primarily due to changes in current year foreign withholding taxes which are creditable in foreign jurisdictions and changes in uncertain tax positions during the year ended December 31, 2024.</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October 8, 2021, the Organization for Economic Co-operation and Development ("OECD") released a statement on the OECD/G20 Inclusive Framework on Base Erosion and Profit Shifting, which agreed to a two-pillar solution to address tax challenges of the digital economy. On December 20, 2021, the OECD released Pillar Two model rules defining a 15 percent global minimum tax rate for large multinational corporations. The OECD continues to release additional guidance, and countries are implementing legislation with widespread adoption of the Pillar Two Framework and additional countries continue to adopt the Framework. The Company is not subject to the Pillar Two Framework as it does not meet the minimum revenue requirement to be subject to the Framework.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Since inception, we have financed operations primarily from payments received from our customers, the net proceeds from the sale of our common stock in the IPO as well as the net proceeds from the private issuance of our convertible preferred stock and common stock. As of December 31, 2024, we had $43.8 million in cash and cash equivalents and short-term investments of which $2.4 million was held by our foreign subsidiaries. In addition, as of December 31, 2024, we also had $8.5 million in long-term investments.</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believe our cash and cash equivalents, investments and cash provided by sales of our products will be sufficient to meet our expected working capital needs, capital expenditures, financial commitments and other liquidity requirements associated with our existing operations for at least the next 12 months. If these resources are not sufficient to satisfy our liquidity requirements,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changes in our cash flows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08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4660" w:type="dxa"/>
            <w:vAlign w:val="bottom"/>
          </w:tcPr>
          <w:p>
            <w:pPr>
              <w:spacing w:after="0"/>
              <w:rPr>
                <w:sz w:val="17"/>
                <w:szCs w:val="17"/>
                <w:color w:val="auto"/>
              </w:rPr>
            </w:pPr>
          </w:p>
        </w:tc>
        <w:tc>
          <w:tcPr>
            <w:tcW w:w="44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2024</w:t>
            </w: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ind w:right="498"/>
              <w:spacing w:after="0"/>
              <w:rPr>
                <w:sz w:val="20"/>
                <w:szCs w:val="20"/>
                <w:color w:val="auto"/>
              </w:rPr>
            </w:pPr>
            <w:r>
              <w:rPr>
                <w:rFonts w:ascii="Arial" w:cs="Arial" w:eastAsia="Arial" w:hAnsi="Arial"/>
                <w:sz w:val="14"/>
                <w:szCs w:val="14"/>
                <w:b w:val="1"/>
                <w:bCs w:val="1"/>
                <w:color w:val="auto"/>
              </w:rPr>
              <w:t>2023</w:t>
            </w:r>
          </w:p>
        </w:tc>
      </w:tr>
      <w:tr>
        <w:trPr>
          <w:trHeight w:val="202"/>
        </w:trPr>
        <w:tc>
          <w:tcPr>
            <w:tcW w:w="46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Borders>
              <w:top w:val="single" w:sz="8" w:color="auto"/>
            </w:tcBorders>
          </w:tcPr>
          <w:p>
            <w:pPr>
              <w:spacing w:after="0"/>
              <w:rPr>
                <w:sz w:val="17"/>
                <w:szCs w:val="17"/>
                <w:color w:val="auto"/>
              </w:rPr>
            </w:pPr>
          </w:p>
        </w:tc>
      </w:tr>
      <w:tr>
        <w:trPr>
          <w:trHeight w:val="22"/>
        </w:trPr>
        <w:tc>
          <w:tcPr>
            <w:tcW w:w="46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6"/>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4480" w:type="dxa"/>
            <w:vAlign w:val="bottom"/>
            <w:gridSpan w:val="2"/>
            <w:shd w:val="clear" w:color="auto" w:fill="CCEEFF"/>
          </w:tcPr>
          <w:p>
            <w:pPr>
              <w:jc w:val="right"/>
              <w:ind w:right="788"/>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(720)</w:t>
            </w:r>
          </w:p>
        </w:tc>
        <w:tc>
          <w:tcPr>
            <w:tcW w:w="54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(15,729)</w:t>
            </w:r>
          </w:p>
        </w:tc>
      </w:tr>
      <w:tr>
        <w:trPr>
          <w:trHeight w:val="250"/>
        </w:trPr>
        <w:tc>
          <w:tcPr>
            <w:tcW w:w="4660" w:type="dxa"/>
            <w:vAlign w:val="bottom"/>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4480" w:type="dxa"/>
            <w:vAlign w:val="bottom"/>
            <w:gridSpan w:val="2"/>
          </w:tcPr>
          <w:p>
            <w:pPr>
              <w:jc w:val="right"/>
              <w:ind w:right="788"/>
              <w:spacing w:after="0"/>
              <w:rPr>
                <w:sz w:val="20"/>
                <w:szCs w:val="20"/>
                <w:color w:val="auto"/>
              </w:rPr>
            </w:pPr>
            <w:r>
              <w:rPr>
                <w:rFonts w:ascii="Arial" w:cs="Arial" w:eastAsia="Arial" w:hAnsi="Arial"/>
                <w:sz w:val="17"/>
                <w:szCs w:val="17"/>
                <w:color w:val="auto"/>
              </w:rPr>
              <w:t>$</w:t>
            </w:r>
          </w:p>
        </w:tc>
        <w:tc>
          <w:tcPr>
            <w:tcW w:w="560" w:type="dxa"/>
            <w:vAlign w:val="bottom"/>
          </w:tcPr>
          <w:p>
            <w:pPr>
              <w:jc w:val="center"/>
              <w:spacing w:after="0"/>
              <w:rPr>
                <w:sz w:val="20"/>
                <w:szCs w:val="20"/>
                <w:color w:val="auto"/>
              </w:rPr>
            </w:pPr>
            <w:r>
              <w:rPr>
                <w:rFonts w:ascii="Arial" w:cs="Arial" w:eastAsia="Arial" w:hAnsi="Arial"/>
                <w:sz w:val="17"/>
                <w:szCs w:val="17"/>
                <w:color w:val="auto"/>
              </w:rPr>
              <w:t>970</w:t>
            </w:r>
          </w:p>
        </w:tc>
        <w:tc>
          <w:tcPr>
            <w:tcW w:w="54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(4,691)</w:t>
            </w:r>
          </w:p>
        </w:tc>
      </w:tr>
      <w:tr>
        <w:trPr>
          <w:trHeight w:val="263"/>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4480" w:type="dxa"/>
            <w:vAlign w:val="bottom"/>
            <w:gridSpan w:val="2"/>
            <w:shd w:val="clear" w:color="auto" w:fill="CCEEFF"/>
          </w:tcPr>
          <w:p>
            <w:pPr>
              <w:jc w:val="right"/>
              <w:ind w:right="788"/>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(262)</w:t>
            </w:r>
          </w:p>
        </w:tc>
        <w:tc>
          <w:tcPr>
            <w:tcW w:w="54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(2,919)</w:t>
            </w:r>
          </w:p>
        </w:tc>
      </w:tr>
      <w:tr>
        <w:trPr>
          <w:trHeight w:val="903"/>
        </w:trPr>
        <w:tc>
          <w:tcPr>
            <w:tcW w:w="4660" w:type="dxa"/>
            <w:vAlign w:val="bottom"/>
          </w:tcPr>
          <w:p>
            <w:pPr>
              <w:spacing w:after="0"/>
              <w:rPr>
                <w:sz w:val="24"/>
                <w:szCs w:val="24"/>
                <w:color w:val="auto"/>
              </w:rPr>
            </w:pPr>
          </w:p>
        </w:tc>
        <w:tc>
          <w:tcPr>
            <w:tcW w:w="3500" w:type="dxa"/>
            <w:vAlign w:val="bottom"/>
          </w:tcPr>
          <w:p>
            <w:pPr>
              <w:jc w:val="right"/>
              <w:ind w:right="2358"/>
              <w:spacing w:after="0"/>
              <w:rPr>
                <w:sz w:val="20"/>
                <w:szCs w:val="20"/>
                <w:color w:val="auto"/>
              </w:rPr>
            </w:pPr>
            <w:r>
              <w:rPr>
                <w:rFonts w:ascii="Arial" w:cs="Arial" w:eastAsia="Arial" w:hAnsi="Arial"/>
                <w:sz w:val="16"/>
                <w:szCs w:val="16"/>
                <w:color w:val="auto"/>
              </w:rPr>
              <w:t>67</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3"/>
        </w:trPr>
        <w:tc>
          <w:tcPr>
            <w:tcW w:w="466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Cash flows from operating activities may vary significantly from period to period depending on a variety of factors including the timing of our receipts and payments. Our ongoing cash outflows from operating activities primarily relate to payroll-related costs, payments for professional services and obligations under our property leases. Our primary source of cash inflows is receipts from our customers. The timing of receipts of accounts receivable from customers is based upon the completion of agreed milestones or agreed dates as set forth in the contracts.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For the year ended December 31, 2024, net cash used in operating activities was $0.7 million, primarily due to our net loss of $33.6 million, adjusted for non-cash charges of $20.3 million and $12.6 million changes in operating assets and liabilities. Non-cash charges primarily consisted of stock-based compensation of $15.9 million and depreciation and amortization of $3.4 million, loss from our equity method investment of $2.7 million, partially offset by amortization of deferred income of $1.2 million and net accretion of discounts on available-for-sale securities of $0.7 million. The drivers of the changes in operating assets and liabilities were a $8.6 million increase in accounts receivable, and a $1.1 million increase in prepaid expenses and other assets, partially offset by a $18.9 million increase in deferred revenue, a $3.1 million increase in accrued expenses and other liabilities, and a $0.3 million decrease in accounts payable.</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For the year ended December 31, 2023, net cash used in operating activities was $15.7 million, primarily due to our net loss of $36.9 million, adjusted for non-cash charges of $19.2 million and $1.9 million changes in operating assets and liabilities. Non-cash charges primarily consisted of stock-based compensation of $14.5 million and depreciation and amortization of $3.1 million, loss from our equity method investment of $3.4 million, partially offset by amortization of deferred income of $1.2 million and net accretion of discounts on available-for-sale securities of $0.9 million. The drivers of the changes in operating assets and liabilities were a $4.9 million increase in accounts receivable, a $1.3 million increase in prepaid expenses and other assets, and a $0.4 million decrease in accounts payable, offset by a $6.0 million increase in deferred revenue, and a $2.5 million increase in accrued expenses and other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167"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Net cash provided by investing activities for the year ended December 31, 2024, was $1.0 million primarily attributable to $38.5 million of proceeds from maturities of available-for-sale securities, partially offset by $37.2 million of purchases of available-for-sale securities and certificate of deposit, and $0.3 million of purchases of property and equipment.</w:t>
      </w:r>
    </w:p>
    <w:p>
      <w:pPr>
        <w:spacing w:after="0" w:line="12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Net cash used in investing activities for the year ended December 31, 2023, was $4.7 million primarily attributable to $47.8 million of purchases of available-for-sale securities and certificate of deposit, and $1.5 million of purchases of property and equipment, partially offset by $44.7 million of proceeds from maturities of available-for-sale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For the year ended December 31, 2024, net cash used in financing activities was $0.3 million, primarily attributable to principal payments under vendor financing arrangements, partially offset by proceeds from exercise of stock options and employee stock purchase plan.</w:t>
      </w:r>
    </w:p>
    <w:p>
      <w:pPr>
        <w:spacing w:after="0" w:line="104"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For the year ended December 31, 2023, net cash used in financing activities was $2.9 million, primarily attributable to payments of contingent consideration for business combinations and principal payments under vendor financing arrangements.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principal commitments consist of obligations under our operating leases for office space and data center hosting space and vendor finance arrangements. Information regarding our non-cancelable lease commitments as of December 31, 2024, can be found in Note 9 to our consolidated financial statements included elsewhere in this Annual Report on Form 10-K. Our obligations as of December 31, 2024, under our vendor finance arrangements are described in Note 10 to our consolidated financial statements included elsewhere in this Annual Report on Form 10-K.</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4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consolidated financial statements are prepared in accordance with GAAP. The preparation of consolidated financial statements requires us to make certain estimates, judgments, and assumptions. We base our estimates on historical experience and on various other assumptions that we believe to be reasonable based upon information available to us at the time that these estimates, judgments, and assumptions are made. Our estimates and related judgments and assumptions are continually evaluated based on available information and experiences. However, actual amounts could differ from those estimates.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are the critical accounting policies requiring estimates, judgments, and assumptions that we believe have the most significant impact on our consolidated financial statements. For information on our significant accounting policies, see Note 2, Basis of Presentation and Summary of Significant Accounting Policies to our consolidated financial statements included elsewhere in this report.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recognize license revenues as we transfer control of deliverables (software and services) to our customers in an amount reflecting the consideration to which we expect to be entitled. To recognize revenues, we apply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We account for a contract when it has approval and commitment from all parties, the rights of the parties are identified, payment terms are identified, the contract has commercial substance and collectability of consideration is probable. We apply judgment in determining the customer’s ability and intention to pay based on a variety of factors including the customer’s historical payment experience.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Products and Services</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revenue is primarily derived from licensing intellectual property, licensing software, support and maintenance services, professional services, training services, and royalties.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Design Solutions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Interconnect Solutions product arrangements provide customers the right to software licenses, services, and support and maintenance. We enter into licensing arrangements with customers that typically range from two to three years and generally consist of delivery of a design license that grants the customer the right to use the IP to design a contractually defined number of products, a right to access the benefits of its proprietary software tool (RTL), and support and maintenance services that provide the customer a significant benefit from ongoing access to Corporate Application Engineers (CAE) and Field Application Engineers (FAE) (collectively, Application Engineer Support Services) to perform certain verifications including benchmark performance, simulations and ultimately, through the RTL, instantiate designs into silicon over the design term.</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Application Engineer Support Services are integral and fundamental to the customer’s ability to derive its intended benefit from the IP. Besides Application Engineer Support Services, support and maintenance services also consist of a stand-ready obligation to provide technical support and software updates over the support term. Generally, the first year of technical support and software updates are bundled with and into the license fee with a customer option to renew additional years of support throughout the license term. However, we continue to provide technical support and software updates throughout the license term even if the customer does not renew these services in subsequent years, making the license term and support and maintenance term co-terminus.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Considering the nature of the combined license and assisting our customers in applying our IP technology in our customers’ development environment and the relative significance thereof, we have concluded that our promise to provide an Interconnect Solutions IP license is not distinct from our obligation to provide the Application Engineer Support Services and benefits of the RTL.</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Interconnect Solutions IP, RTL, and the Application Engineering Support Services serve to fulfill our commitment to the customer, as they represent inputs to a single, combined performance obligation that commences upon the later of the arrangement effective date or transfer of the software license. Further, although technical support and software updates is a distinct performance obligation, it is accounted for as if it were part of a single performance obligation that includes the licenses, RTL and Application Engineer Support Services because the technical support and updates are provided in practice for the same period of time and have the same time-based pattern of transfer to the customer as the combined design license, RTL, and Application Engineer Support Services. Therefore, revenue from Interconnect Solutions IP licensing arrangements is recognized ratably over the design term.</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Revenues that are derived from the sale of a licensee’s products that incorporate our IP are classified as royalty revenues. Royalty revenues are recognized during the quarter in which the sale of the product incorporating our IP occurs and are included in variable royalties and other revenue in the consolidated statements of operations. Royalties are calculated either as a percentage of the revenues received by a licensee’s sale of products incorporating our IP or on a per unit basis, as specified in the agreements with the licensees. For the majority of our royalty revenues, we receive the actual sales data from our customers after the quarter ends and account for it as unbilled receivables. In such instances, we recognize royalty revenues based on our estimation of the customer’s sales during the quarter.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SoC Integration Automation Software Solutions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SIA products and CSRCompiler product arrangements provide customers with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Majority of our SIA solutions contracts include termination rights that allow the customer to cancel and receive a pro-rata refund on support and maintenance services at the end of each month of the contract period, which results in a ratable recognition of the related license revenue over the contract term.</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Professional Services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agreements may include service elements (other than maintenance and support services). These services include training, design assistance, and consulting. Services performed on a time and materials basis are recognized over the period the services are provided either using an output method such as labor hours, or a method that is otherwise consistent with the way in which value is delivered to the customer. Services performed on a fixed price basis are recognized over time, generally using costs incurred or hours expended to measure progress.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Multiple Performance Obligations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which are estimated considering multiple factors including observable industry pricing practices and internal pricing strategies and objectives. Standalone selling prices of professional services are typically estimated based on observable transactions when these services are sold on a standalone basis.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 price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Revenue is recognized when, or as, control of a promised product or service transfers to a client, in an amount that reflects the consideration to which we expect to be entitled in exchange for transferring those products or services. If the consideration promised in a contract includes a variable amount, we estimate the amount to which we expect to be entitled using either the expected value or most likely amount method, to the extent it is probable that a significant reversal of cumulative revenue recognized will not occur. Generally, the transaction price of our contracts is fixed at the inception of the contract, except for variable royalties. Our contracts generally do not include terms that could cause variability in the transaction price.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assess the timing of the transfer of goods or services to the customer as compared to the timing of payments to determine whether a significant financing component exists. As a practical expedient, we do not assess the existence of a significant financing component when the difference between payment and transfer of deliverables is a year or less. If the difference in timing arises for reasons other than the provision of finance to either the customer or us, no financing component is deemed to exist. When contracts involve a significant financing component, we adjust the promised amount of consideration for the effects of the time value of money if the timing of payments agreed to by the parties to the contract (either explicitly or implicitly) provide the customer with a significant benefit of financing.</w:t>
      </w:r>
    </w:p>
    <w:p>
      <w:pPr>
        <w:spacing w:after="0" w:line="12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report revenue net of any revenue-based taxes assessed by governmental authorities that are imposed on and concurrent with specific revenue-producing transactions.</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In instances where foreign licensees withhold and remit taxes to local authorities in accordance with local laws and regulations, we recognize and present revenue on a gross basis, and includes the withholding tax in income tax expense.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Flexible Spending Accounts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Some customers enter into a non-cancelable flexible spending account agreements (FSA Agreements) whereby the customer commits to a fixed dollar amount over a specified period of time that can be used to purchase from a list of our products or services. These agreements do not meet the definition of a revenue contract until the customer executes a separate order to identify the required products and services that they are purchasing. The combination of the FSA agreement and the subsequent order creates enforceable rights and obligations, thus meeting the definition of a revenue contract. Each separate order under the agreement is treated as an individual contract and accounted for based on the respective performance obligations included within the FSA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modifications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contracts may be modified to add, remove or change existing performance obligations. The accounting for modifications to our contracts involves assessing whether the products and services added to an existing contract are distinct and whether the pricing is at the standalone selling price. Products and services added that are not distinct are accounted for on a cumulative catch-up basis, while those that are distinct are accounted for prospectively, either as a separate contract if the additional services are priced at the standalone selling price, or as a termination of the existing contract and creation of a new contract if not priced at the standalone selling price. Our more significant contract modifications include extensions of the design license term and the purchase of additional years of support and maintenance.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Judgments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contracts with customers often include promises to transfer multiple products and services to a customer. Determining whether products and services are considered distinct performance obligations that should be accounted for separately versus together requires significant judgment. Judgment is also required to determine the standalone selling price for each distinct performance obligation.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Balances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timing of revenue recognition may differ from the timing of invoicing to customers, and these timing differences result in contract assets (unbilled receivables), or contract liabilities (deferred revenue) on our consolidated balance sheets. We record a contract asset when revenue is recognized prior to the right to invoice, and we have an unconditional right to invoice and receive payment. We record deferred revenue when we invoice customers and revenue is not yet recognized. Customers are generally invoiced in single or annual amounts, although some customers are invoiced more frequently over time.</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capitalize sales commission as costs of obtaining a contract when they are incremental and, if they are expected to be recovered, amortized in a manner consistent with the pattern of transfer of the good or service to which the asset relates.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account for income taxes under the asset and liability method. Under this method, deferred taxes are determined based on the temporary differences between the financial statement and tax basis of assets and liabilities using tax rates expected to be in effect during the years in which the basis differences are expected to reverse. The effect of a change in tax rates on deferred tax assets and liabilities is recognized in income in the period that includes the enactment date. We provide for a valuation allowance when it is more likely than not that some portion, or all of our deferred tax assets will not be realized. In making such determination, we consider all available positive and negative evidence, including future reversals of existing taxable temporary differences, projected future taxable income, tax-planning strategies, and results of recent operations. As of December 31, 2024, and 2023, we recorded a full valuation allowance against our U.S. federal, state, and certain foreign jurisdiction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Method Investments</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use the equity method to account for our investments in companies which we do not control but are deemed to have the ability to exercise significant influence over the operating and financial decisions of the investee.</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generally measure an investment in the common stock of an investee initially at cost. The carrying value of our equity method investments is reported in equity method investment on the consolidated balance sheets. We record our proportionate share of the income or loss in our equity method investments on a one-quarter lag. The cost is adjusted to recognize our proportionate share of the investee’s net income or loss after the date of investment. We assess investments for impairment whenever events or changes in circumstances indicate that the carrying value of an investment may not be recoverable.</w:t>
      </w:r>
    </w:p>
    <w:p>
      <w:pPr>
        <w:spacing w:after="0" w:line="141"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Distributions received from an investee reduce the carrying value of an investment and are recorded in the consolidated statements of cash flows using the nature of distribution approach.</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test our goodwill and other indefinite-lived intangible assets for impairment during the last day of the third fiscal quarter each year or more frequently if events or changes in circumstances occur that would more likely than not reduce the fair value below its carrying value. We completed the most recent annual impairment test of goodwill at the reporting unit level. We have one reporting unit. We determined that our reporting unit had significant fair value in excess of carrying value. For the years ended December 31, 2024, and 2023, we did not have any goodwill or other indefinite-lived intangible assets impairment.</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Acquired finite-lived intangible assets are amortized on a straight-line basis over the estimated useful lives of the assets, which range from five to eight years, unless the lives are determined to be indefinite. We routinely review the remaining estimated useful lives of finite-lived intangible assets. Amortization expenses are recorded operating expenses on the consolidated statements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For more information regarding recently issued accounting pronouncements, see Note 2 Basis of Presentation and Summary of Significant Accounting Policies to our consolidated financial statements included elsewhere in this report.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JOBS Act</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are an emerging growth company, as defined in the Jumpstart Our Business Startups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See Note 2, Basis of Presentation and Summary of Significant Accounting Policies, in the notes to our consolidated financial statements included elsewhere in this Annual Report on Form 10-K. As a result, our financial statements may not be comparable to companies that comply with new or revised accounting pronouncements as of public company effective dates.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Quantitative and Qualitative Disclosures About Market Risk</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Operating in international markets involves exposure to possible volatile movements in currency exchange rates. A majority of our revenue and expenses are transacted in U.S. dollars and our assets and liabilities together with our cash holdings are predominately denominated in U.S. dollars reducing the exposure to currency fluctuations.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If the volume of our international operations increases and foreign currency exchange rates changes, the impact to our consolidated statements of operations could be significant and may affect the comparability of operating results. The impact from foreign currency remeasurement during the years ended December 31, 2024, and 2023 was approximately $0.2 million and $0.4 million, respectively. We do not believe a 10% increase or decrease in foreign exchange rates would have resulted in a material impact to our operating results.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0400" w:type="dxa"/>
            <w:vAlign w:val="bottom"/>
            <w:gridSpan w:val="8"/>
            <w:vMerge w:val="restart"/>
          </w:tcPr>
          <w:p>
            <w:pPr>
              <w:spacing w:after="0"/>
              <w:rPr>
                <w:sz w:val="20"/>
                <w:szCs w:val="20"/>
                <w:color w:val="auto"/>
              </w:rPr>
            </w:pPr>
            <w:r>
              <w:rPr>
                <w:rFonts w:ascii="Arial" w:cs="Arial" w:eastAsia="Arial" w:hAnsi="Arial"/>
                <w:sz w:val="17"/>
                <w:szCs w:val="17"/>
                <w:b w:val="1"/>
                <w:bCs w:val="1"/>
                <w:color w:val="auto"/>
              </w:rPr>
              <w:t>Arteris, Inc.</w:t>
            </w:r>
          </w:p>
        </w:tc>
        <w:tc>
          <w:tcPr>
            <w:tcW w:w="8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2"/>
        </w:trPr>
        <w:tc>
          <w:tcPr>
            <w:tcW w:w="10400" w:type="dxa"/>
            <w:vAlign w:val="bottom"/>
            <w:gridSpan w:val="8"/>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400" w:type="dxa"/>
            <w:vAlign w:val="bottom"/>
            <w:gridSpan w:val="8"/>
          </w:tcPr>
          <w:p>
            <w:pPr>
              <w:spacing w:after="0" w:line="185" w:lineRule="exact"/>
              <w:rPr>
                <w:sz w:val="20"/>
                <w:szCs w:val="20"/>
                <w:color w:val="auto"/>
              </w:rPr>
            </w:pPr>
            <w:r>
              <w:rPr>
                <w:rFonts w:ascii="Arial" w:cs="Arial" w:eastAsia="Arial" w:hAnsi="Arial"/>
                <w:sz w:val="17"/>
                <w:szCs w:val="17"/>
                <w:color w:val="0000FF"/>
              </w:rPr>
              <w:t xml:space="preserve">Report of Independent Registered Public Accounting Firm </w:t>
            </w:r>
            <w:r>
              <w:rPr>
                <w:rFonts w:ascii="Arial" w:cs="Arial" w:eastAsia="Arial" w:hAnsi="Arial"/>
                <w:sz w:val="17"/>
                <w:szCs w:val="17"/>
                <w:color w:val="000000"/>
              </w:rPr>
              <w:t>(PCAOB ID: 34)</w:t>
            </w:r>
          </w:p>
        </w:tc>
        <w:tc>
          <w:tcPr>
            <w:tcW w:w="820" w:type="dxa"/>
            <w:vAlign w:val="bottom"/>
          </w:tcPr>
          <w:p>
            <w:pPr>
              <w:jc w:val="right"/>
              <w:spacing w:after="0" w:line="185" w:lineRule="exact"/>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9"/>
        </w:trPr>
        <w:tc>
          <w:tcPr>
            <w:tcW w:w="4380" w:type="dxa"/>
            <w:vAlign w:val="bottom"/>
            <w:tcBorders>
              <w:top w:val="single" w:sz="8" w:color="0000FF"/>
            </w:tcBorders>
            <w:gridSpan w:val="7"/>
          </w:tcPr>
          <w:p>
            <w:pPr>
              <w:spacing w:after="0"/>
              <w:rPr>
                <w:sz w:val="20"/>
                <w:szCs w:val="20"/>
                <w:color w:val="auto"/>
              </w:rPr>
            </w:pPr>
            <w:r>
              <w:rPr>
                <w:rFonts w:ascii="Arial" w:cs="Arial" w:eastAsia="Arial" w:hAnsi="Arial"/>
                <w:sz w:val="17"/>
                <w:szCs w:val="17"/>
                <w:color w:val="0000FF"/>
              </w:rPr>
              <w:t>Consolidated Balance Sheets</w:t>
            </w:r>
          </w:p>
        </w:tc>
        <w:tc>
          <w:tcPr>
            <w:tcW w:w="60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22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0" w:type="dxa"/>
            <w:vAlign w:val="bottom"/>
            <w:gridSpan w:val="8"/>
          </w:tcPr>
          <w:p>
            <w:pPr>
              <w:spacing w:after="0"/>
              <w:rPr>
                <w:sz w:val="20"/>
                <w:szCs w:val="20"/>
                <w:color w:val="auto"/>
              </w:rPr>
            </w:pPr>
            <w:r>
              <w:rPr>
                <w:rFonts w:ascii="Arial" w:cs="Arial" w:eastAsia="Arial" w:hAnsi="Arial"/>
                <w:sz w:val="17"/>
                <w:szCs w:val="17"/>
                <w:color w:val="0000FF"/>
              </w:rPr>
              <w:t>Consolidated Statements of Operations</w:t>
            </w:r>
          </w:p>
        </w:tc>
        <w:tc>
          <w:tcPr>
            <w:tcW w:w="82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
        </w:trPr>
        <w:tc>
          <w:tcPr>
            <w:tcW w:w="29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rPr>
              <w:t>Consolidated Statements of Comprehensive Loss</w:t>
            </w:r>
          </w:p>
        </w:tc>
        <w:tc>
          <w:tcPr>
            <w:tcW w:w="6640" w:type="dxa"/>
            <w:vAlign w:val="bottom"/>
            <w:gridSpan w:val="3"/>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09"/>
        </w:trPr>
        <w:tc>
          <w:tcPr>
            <w:tcW w:w="434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rPr>
              <w:t>Consolidated Statements of Stockholders’ Equity (Deficit)</w:t>
            </w:r>
          </w:p>
        </w:tc>
        <w:tc>
          <w:tcPr>
            <w:tcW w:w="6060" w:type="dxa"/>
            <w:vAlign w:val="bottom"/>
            <w:gridSpan w:val="2"/>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0"/>
        </w:trPr>
        <w:tc>
          <w:tcPr>
            <w:tcW w:w="10400" w:type="dxa"/>
            <w:vAlign w:val="bottom"/>
            <w:gridSpan w:val="8"/>
          </w:tcPr>
          <w:p>
            <w:pPr>
              <w:spacing w:after="0"/>
              <w:rPr>
                <w:sz w:val="20"/>
                <w:szCs w:val="20"/>
                <w:color w:val="auto"/>
              </w:rPr>
            </w:pPr>
            <w:r>
              <w:rPr>
                <w:rFonts w:ascii="Arial" w:cs="Arial" w:eastAsia="Arial" w:hAnsi="Arial"/>
                <w:sz w:val="17"/>
                <w:szCs w:val="17"/>
                <w:color w:val="0000FF"/>
              </w:rPr>
              <w:t>Consolidated Statements of Cash Flows</w:t>
            </w:r>
          </w:p>
        </w:tc>
        <w:tc>
          <w:tcPr>
            <w:tcW w:w="820" w:type="dxa"/>
            <w:vAlign w:val="bottom"/>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0"/>
        </w:trPr>
        <w:tc>
          <w:tcPr>
            <w:tcW w:w="30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4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rPr>
              <w:t>Notes to Consolidated Financial Statements</w:t>
            </w:r>
          </w:p>
        </w:tc>
        <w:tc>
          <w:tcPr>
            <w:tcW w:w="7060" w:type="dxa"/>
            <w:vAlign w:val="bottom"/>
            <w:gridSpan w:val="4"/>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Arteris, Inc.</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audited the accompanying consolidated balance sheets of Arteris, Inc. and subsidiaries (the "Company") as of December 31, 2024 and 2023, the related consolidated statements of operations</w:t>
      </w:r>
      <w:r>
        <w:rPr>
          <w:rFonts w:ascii="Arial" w:cs="Arial" w:eastAsia="Arial" w:hAnsi="Arial"/>
          <w:sz w:val="17"/>
          <w:szCs w:val="17"/>
          <w:i w:val="1"/>
          <w:iCs w:val="1"/>
          <w:color w:val="auto"/>
        </w:rPr>
        <w:t>,</w:t>
      </w:r>
      <w:r>
        <w:rPr>
          <w:rFonts w:ascii="Arial" w:cs="Arial" w:eastAsia="Arial" w:hAnsi="Arial"/>
          <w:sz w:val="17"/>
          <w:szCs w:val="17"/>
          <w:color w:val="auto"/>
        </w:rPr>
        <w:t xml:space="preserve"> comprehensive loss, shareholders' equity (deficit), and cash flows, for each of the two years year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February 18, 2025</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Arteris,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5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7"/>
        </w:trPr>
        <w:tc>
          <w:tcPr>
            <w:tcW w:w="8140" w:type="dxa"/>
            <w:vAlign w:val="bottom"/>
            <w:gridSpan w:val="7"/>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40" w:type="dxa"/>
            <w:vAlign w:val="bottom"/>
            <w:gridSpan w:val="7"/>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4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13,696</w:t>
            </w:r>
          </w:p>
        </w:tc>
        <w:tc>
          <w:tcPr>
            <w:tcW w:w="0" w:type="dxa"/>
            <w:vAlign w:val="bottom"/>
          </w:tcPr>
          <w:p>
            <w:pPr>
              <w:spacing w:after="0"/>
              <w:rPr>
                <w:sz w:val="1"/>
                <w:szCs w:val="1"/>
                <w:color w:val="auto"/>
              </w:rPr>
            </w:pPr>
          </w:p>
        </w:tc>
      </w:tr>
      <w:tr>
        <w:trPr>
          <w:trHeight w:val="176"/>
        </w:trPr>
        <w:tc>
          <w:tcPr>
            <w:tcW w:w="8140" w:type="dxa"/>
            <w:vAlign w:val="bottom"/>
            <w:gridSpan w:val="7"/>
          </w:tcPr>
          <w:p>
            <w:pPr>
              <w:ind w:left="20"/>
              <w:spacing w:after="0" w:line="175" w:lineRule="exact"/>
              <w:rPr>
                <w:sz w:val="20"/>
                <w:szCs w:val="20"/>
                <w:color w:val="auto"/>
              </w:rPr>
            </w:pPr>
            <w:r>
              <w:rPr>
                <w:rFonts w:ascii="Arial" w:cs="Arial" w:eastAsia="Arial" w:hAnsi="Arial"/>
                <w:sz w:val="16"/>
                <w:szCs w:val="16"/>
                <w:color w:val="auto"/>
              </w:rPr>
              <w:t>Short-term investments (</w:t>
            </w:r>
            <w:r>
              <w:rPr>
                <w:rFonts w:ascii="Arial" w:cs="Arial" w:eastAsia="Arial" w:hAnsi="Arial"/>
                <w:sz w:val="16"/>
                <w:szCs w:val="16"/>
                <w:color w:val="0000FF"/>
              </w:rPr>
              <w:t>Note 5</w:t>
            </w: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30,157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27,477</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rPr>
              <w:t>Accounts receivable, net of allowance of $131 and $93 as of December 31, 2024, and 2023, respectively</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12,003</w:t>
            </w:r>
          </w:p>
        </w:tc>
        <w:tc>
          <w:tcPr>
            <w:tcW w:w="0" w:type="dxa"/>
            <w:vAlign w:val="bottom"/>
          </w:tcPr>
          <w:p>
            <w:pPr>
              <w:spacing w:after="0"/>
              <w:rPr>
                <w:sz w:val="1"/>
                <w:szCs w:val="1"/>
                <w:color w:val="auto"/>
              </w:rPr>
            </w:pPr>
          </w:p>
        </w:tc>
      </w:tr>
      <w:tr>
        <w:trPr>
          <w:trHeight w:val="215"/>
        </w:trPr>
        <w:tc>
          <w:tcPr>
            <w:tcW w:w="8140" w:type="dxa"/>
            <w:vAlign w:val="bottom"/>
            <w:tcBorders>
              <w:bottom w:val="single" w:sz="8" w:color="CCEEFF"/>
            </w:tcBorders>
            <w:gridSpan w:val="7"/>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5,254</w:t>
            </w:r>
          </w:p>
        </w:tc>
        <w:tc>
          <w:tcPr>
            <w:tcW w:w="0" w:type="dxa"/>
            <w:vAlign w:val="bottom"/>
          </w:tcPr>
          <w:p>
            <w:pPr>
              <w:spacing w:after="0"/>
              <w:rPr>
                <w:sz w:val="1"/>
                <w:szCs w:val="1"/>
                <w:color w:val="auto"/>
              </w:rPr>
            </w:pPr>
          </w:p>
        </w:tc>
      </w:tr>
      <w:tr>
        <w:trPr>
          <w:trHeight w:val="210"/>
        </w:trPr>
        <w:tc>
          <w:tcPr>
            <w:tcW w:w="8140" w:type="dxa"/>
            <w:vAlign w:val="bottom"/>
            <w:gridSpan w:val="7"/>
            <w:shd w:val="clear" w:color="auto" w:fill="CCEEFF"/>
          </w:tcPr>
          <w:p>
            <w:pPr>
              <w:ind w:left="560"/>
              <w:spacing w:after="0"/>
              <w:rPr>
                <w:sz w:val="20"/>
                <w:szCs w:val="20"/>
                <w:color w:val="auto"/>
              </w:rPr>
            </w:pPr>
            <w:r>
              <w:rPr>
                <w:rFonts w:ascii="Arial" w:cs="Arial" w:eastAsia="Arial" w:hAnsi="Arial"/>
                <w:sz w:val="16"/>
                <w:szCs w:val="16"/>
                <w:color w:val="auto"/>
              </w:rPr>
              <w:t>Total current 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58,430</w:t>
            </w:r>
          </w:p>
        </w:tc>
        <w:tc>
          <w:tcPr>
            <w:tcW w:w="0" w:type="dxa"/>
            <w:vAlign w:val="bottom"/>
          </w:tcPr>
          <w:p>
            <w:pPr>
              <w:spacing w:after="0"/>
              <w:rPr>
                <w:sz w:val="1"/>
                <w:szCs w:val="1"/>
                <w:color w:val="auto"/>
              </w:rPr>
            </w:pPr>
          </w:p>
        </w:tc>
      </w:tr>
      <w:tr>
        <w:trPr>
          <w:trHeight w:val="215"/>
        </w:trPr>
        <w:tc>
          <w:tcPr>
            <w:tcW w:w="8140" w:type="dxa"/>
            <w:vAlign w:val="bottom"/>
            <w:gridSpan w:val="7"/>
          </w:tcPr>
          <w:p>
            <w:pPr>
              <w:ind w:left="20"/>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5,745</w:t>
            </w:r>
          </w:p>
        </w:tc>
        <w:tc>
          <w:tcPr>
            <w:tcW w:w="0" w:type="dxa"/>
            <w:vAlign w:val="bottom"/>
          </w:tcPr>
          <w:p>
            <w:pPr>
              <w:spacing w:after="0"/>
              <w:rPr>
                <w:sz w:val="1"/>
                <w:szCs w:val="1"/>
                <w:color w:val="auto"/>
              </w:rPr>
            </w:pPr>
          </w:p>
        </w:tc>
      </w:tr>
      <w:tr>
        <w:trPr>
          <w:trHeight w:val="176"/>
        </w:trPr>
        <w:tc>
          <w:tcPr>
            <w:tcW w:w="8140" w:type="dxa"/>
            <w:vAlign w:val="bottom"/>
            <w:gridSpan w:val="7"/>
            <w:shd w:val="clear" w:color="auto" w:fill="CCEEFF"/>
          </w:tcPr>
          <w:p>
            <w:pPr>
              <w:ind w:left="20"/>
              <w:spacing w:after="0" w:line="176" w:lineRule="exact"/>
              <w:rPr>
                <w:sz w:val="20"/>
                <w:szCs w:val="20"/>
                <w:color w:val="auto"/>
              </w:rPr>
            </w:pPr>
            <w:r>
              <w:rPr>
                <w:rFonts w:ascii="Arial" w:cs="Arial" w:eastAsia="Arial" w:hAnsi="Arial"/>
                <w:sz w:val="16"/>
                <w:szCs w:val="16"/>
                <w:color w:val="auto"/>
              </w:rPr>
              <w:t>Long-term investments (</w:t>
            </w:r>
            <w:r>
              <w:rPr>
                <w:rFonts w:ascii="Arial" w:cs="Arial" w:eastAsia="Arial" w:hAnsi="Arial"/>
                <w:sz w:val="16"/>
                <w:szCs w:val="16"/>
                <w:color w:val="0000FF"/>
              </w:rPr>
              <w:t>Note 5</w:t>
            </w:r>
            <w:r>
              <w:rPr>
                <w:rFonts w:ascii="Arial" w:cs="Arial" w:eastAsia="Arial" w:hAnsi="Arial"/>
                <w:sz w:val="16"/>
                <w:szCs w:val="16"/>
                <w:color w:val="auto"/>
              </w:rPr>
              <w: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8,504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11,802</w:t>
            </w:r>
          </w:p>
        </w:tc>
        <w:tc>
          <w:tcPr>
            <w:tcW w:w="0" w:type="dxa"/>
            <w:vAlign w:val="bottom"/>
          </w:tcPr>
          <w:p>
            <w:pPr>
              <w:spacing w:after="0"/>
              <w:rPr>
                <w:sz w:val="1"/>
                <w:szCs w:val="1"/>
                <w:color w:val="auto"/>
              </w:rPr>
            </w:pPr>
          </w:p>
        </w:tc>
      </w:tr>
      <w:tr>
        <w:trPr>
          <w:trHeight w:val="21"/>
        </w:trPr>
        <w:tc>
          <w:tcPr>
            <w:tcW w:w="1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140" w:type="dxa"/>
            <w:vAlign w:val="bottom"/>
            <w:gridSpan w:val="7"/>
          </w:tcPr>
          <w:p>
            <w:pPr>
              <w:ind w:left="20"/>
              <w:spacing w:after="0"/>
              <w:rPr>
                <w:sz w:val="20"/>
                <w:szCs w:val="20"/>
                <w:color w:val="auto"/>
              </w:rPr>
            </w:pPr>
            <w:r>
              <w:rPr>
                <w:rFonts w:ascii="Arial" w:cs="Arial" w:eastAsia="Arial" w:hAnsi="Arial"/>
                <w:sz w:val="16"/>
                <w:szCs w:val="16"/>
                <w:color w:val="auto"/>
              </w:rPr>
              <w:t>Equity method investment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8,500</w:t>
            </w:r>
          </w:p>
        </w:tc>
        <w:tc>
          <w:tcPr>
            <w:tcW w:w="0" w:type="dxa"/>
            <w:vAlign w:val="bottom"/>
          </w:tcPr>
          <w:p>
            <w:pPr>
              <w:spacing w:after="0"/>
              <w:rPr>
                <w:sz w:val="1"/>
                <w:szCs w:val="1"/>
                <w:color w:val="auto"/>
              </w:rPr>
            </w:pPr>
          </w:p>
        </w:tc>
      </w:tr>
      <w:tr>
        <w:trPr>
          <w:trHeight w:val="217"/>
        </w:trPr>
        <w:tc>
          <w:tcPr>
            <w:tcW w:w="814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4,289</w:t>
            </w:r>
          </w:p>
        </w:tc>
        <w:tc>
          <w:tcPr>
            <w:tcW w:w="0" w:type="dxa"/>
            <w:vAlign w:val="bottom"/>
          </w:tcPr>
          <w:p>
            <w:pPr>
              <w:spacing w:after="0"/>
              <w:rPr>
                <w:sz w:val="1"/>
                <w:szCs w:val="1"/>
                <w:color w:val="auto"/>
              </w:rPr>
            </w:pPr>
          </w:p>
        </w:tc>
      </w:tr>
      <w:tr>
        <w:trPr>
          <w:trHeight w:val="215"/>
        </w:trPr>
        <w:tc>
          <w:tcPr>
            <w:tcW w:w="8140" w:type="dxa"/>
            <w:vAlign w:val="bottom"/>
            <w:gridSpan w:val="7"/>
          </w:tcPr>
          <w:p>
            <w:pPr>
              <w:ind w:left="20"/>
              <w:spacing w:after="0"/>
              <w:rPr>
                <w:sz w:val="20"/>
                <w:szCs w:val="20"/>
                <w:color w:val="auto"/>
              </w:rPr>
            </w:pPr>
            <w:r>
              <w:rPr>
                <w:rFonts w:ascii="Arial" w:cs="Arial" w:eastAsia="Arial" w:hAnsi="Arial"/>
                <w:sz w:val="16"/>
                <w:szCs w:val="16"/>
                <w:color w:val="auto"/>
              </w:rPr>
              <w:t>Intangibles, net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3,858</w:t>
            </w:r>
          </w:p>
        </w:tc>
        <w:tc>
          <w:tcPr>
            <w:tcW w:w="0" w:type="dxa"/>
            <w:vAlign w:val="bottom"/>
          </w:tcPr>
          <w:p>
            <w:pPr>
              <w:spacing w:after="0"/>
              <w:rPr>
                <w:sz w:val="1"/>
                <w:szCs w:val="1"/>
                <w:color w:val="auto"/>
              </w:rPr>
            </w:pPr>
          </w:p>
        </w:tc>
      </w:tr>
      <w:tr>
        <w:trPr>
          <w:trHeight w:val="217"/>
        </w:trPr>
        <w:tc>
          <w:tcPr>
            <w:tcW w:w="814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w:t>
            </w:r>
          </w:p>
        </w:tc>
        <w:tc>
          <w:tcPr>
            <w:tcW w:w="0" w:type="dxa"/>
            <w:vAlign w:val="bottom"/>
          </w:tcPr>
          <w:p>
            <w:pPr>
              <w:spacing w:after="0"/>
              <w:rPr>
                <w:sz w:val="1"/>
                <w:szCs w:val="1"/>
                <w:color w:val="auto"/>
              </w:rPr>
            </w:pPr>
          </w:p>
        </w:tc>
      </w:tr>
      <w:tr>
        <w:trPr>
          <w:trHeight w:val="215"/>
        </w:trPr>
        <w:tc>
          <w:tcPr>
            <w:tcW w:w="8140" w:type="dxa"/>
            <w:vAlign w:val="bottom"/>
            <w:tcBorders>
              <w:bottom w:val="single" w:sz="8" w:color="CCEEFF"/>
            </w:tcBorders>
            <w:gridSpan w:val="7"/>
          </w:tcPr>
          <w:p>
            <w:pPr>
              <w:ind w:left="2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5,999</w:t>
            </w:r>
          </w:p>
        </w:tc>
        <w:tc>
          <w:tcPr>
            <w:tcW w:w="0" w:type="dxa"/>
            <w:vAlign w:val="bottom"/>
          </w:tcPr>
          <w:p>
            <w:pPr>
              <w:spacing w:after="0"/>
              <w:rPr>
                <w:sz w:val="1"/>
                <w:szCs w:val="1"/>
                <w:color w:val="auto"/>
              </w:rPr>
            </w:pPr>
          </w:p>
        </w:tc>
      </w:tr>
      <w:tr>
        <w:trPr>
          <w:trHeight w:val="235"/>
        </w:trPr>
        <w:tc>
          <w:tcPr>
            <w:tcW w:w="814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106,135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102,801</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7"/>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40" w:type="dxa"/>
            <w:vAlign w:val="bottom"/>
            <w:gridSpan w:val="7"/>
            <w:vMerge w:val="continue"/>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4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40" w:type="dxa"/>
            <w:vAlign w:val="bottom"/>
            <w:gridSpan w:val="7"/>
          </w:tcPr>
          <w:p>
            <w:pPr>
              <w:ind w:left="20"/>
              <w:spacing w:after="0"/>
              <w:rPr>
                <w:sz w:val="20"/>
                <w:szCs w:val="20"/>
                <w:color w:val="auto"/>
              </w:rPr>
            </w:pPr>
            <w:r>
              <w:rPr>
                <w:rFonts w:ascii="Arial" w:cs="Arial" w:eastAsia="Arial" w:hAnsi="Arial"/>
                <w:sz w:val="16"/>
                <w:szCs w:val="16"/>
                <w:color w:val="auto"/>
              </w:rPr>
              <w:t>Accounts payable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7"/>
        </w:trPr>
        <w:tc>
          <w:tcPr>
            <w:tcW w:w="814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11,831</w:t>
            </w:r>
          </w:p>
        </w:tc>
        <w:tc>
          <w:tcPr>
            <w:tcW w:w="0" w:type="dxa"/>
            <w:vAlign w:val="bottom"/>
          </w:tcPr>
          <w:p>
            <w:pPr>
              <w:spacing w:after="0"/>
              <w:rPr>
                <w:sz w:val="1"/>
                <w:szCs w:val="1"/>
                <w:color w:val="auto"/>
              </w:rPr>
            </w:pPr>
          </w:p>
        </w:tc>
      </w:tr>
      <w:tr>
        <w:trPr>
          <w:trHeight w:val="215"/>
        </w:trPr>
        <w:tc>
          <w:tcPr>
            <w:tcW w:w="8140" w:type="dxa"/>
            <w:vAlign w:val="bottom"/>
            <w:gridSpan w:val="7"/>
          </w:tcPr>
          <w:p>
            <w:pPr>
              <w:ind w:left="20"/>
              <w:spacing w:after="0"/>
              <w:rPr>
                <w:sz w:val="20"/>
                <w:szCs w:val="20"/>
                <w:color w:val="auto"/>
              </w:rPr>
            </w:pPr>
            <w:r>
              <w:rPr>
                <w:rFonts w:ascii="Arial" w:cs="Arial" w:eastAsia="Arial" w:hAnsi="Arial"/>
                <w:sz w:val="16"/>
                <w:szCs w:val="16"/>
                <w:color w:val="auto"/>
              </w:rPr>
              <w:t>Operating lease liabilities, current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17"/>
        </w:trPr>
        <w:tc>
          <w:tcPr>
            <w:tcW w:w="814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rPr>
              <w:t>Deferred revenue, current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31,537</w:t>
            </w:r>
          </w:p>
        </w:tc>
        <w:tc>
          <w:tcPr>
            <w:tcW w:w="0" w:type="dxa"/>
            <w:vAlign w:val="bottom"/>
          </w:tcPr>
          <w:p>
            <w:pPr>
              <w:spacing w:after="0"/>
              <w:rPr>
                <w:sz w:val="1"/>
                <w:szCs w:val="1"/>
                <w:color w:val="auto"/>
              </w:rPr>
            </w:pPr>
          </w:p>
        </w:tc>
      </w:tr>
      <w:tr>
        <w:trPr>
          <w:trHeight w:val="215"/>
        </w:trPr>
        <w:tc>
          <w:tcPr>
            <w:tcW w:w="8140" w:type="dxa"/>
            <w:vAlign w:val="bottom"/>
            <w:tcBorders>
              <w:bottom w:val="single" w:sz="8" w:color="CCEEFF"/>
            </w:tcBorders>
            <w:gridSpan w:val="7"/>
          </w:tcPr>
          <w:p>
            <w:pPr>
              <w:ind w:left="20"/>
              <w:spacing w:after="0"/>
              <w:rPr>
                <w:sz w:val="20"/>
                <w:szCs w:val="20"/>
                <w:color w:val="auto"/>
              </w:rPr>
            </w:pPr>
            <w:r>
              <w:rPr>
                <w:rFonts w:ascii="Arial" w:cs="Arial" w:eastAsia="Arial" w:hAnsi="Arial"/>
                <w:sz w:val="16"/>
                <w:szCs w:val="16"/>
                <w:color w:val="auto"/>
              </w:rPr>
              <w:t>Vendor financing arrangements, current</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2,070</w:t>
            </w:r>
          </w:p>
        </w:tc>
        <w:tc>
          <w:tcPr>
            <w:tcW w:w="0" w:type="dxa"/>
            <w:vAlign w:val="bottom"/>
          </w:tcPr>
          <w:p>
            <w:pPr>
              <w:spacing w:after="0"/>
              <w:rPr>
                <w:sz w:val="1"/>
                <w:szCs w:val="1"/>
                <w:color w:val="auto"/>
              </w:rPr>
            </w:pPr>
          </w:p>
        </w:tc>
      </w:tr>
      <w:tr>
        <w:trPr>
          <w:trHeight w:val="210"/>
        </w:trPr>
        <w:tc>
          <w:tcPr>
            <w:tcW w:w="8140" w:type="dxa"/>
            <w:vAlign w:val="bottom"/>
            <w:gridSpan w:val="7"/>
            <w:shd w:val="clear" w:color="auto" w:fill="CCEEFF"/>
          </w:tcPr>
          <w:p>
            <w:pPr>
              <w:ind w:left="560"/>
              <w:spacing w:after="0"/>
              <w:rPr>
                <w:sz w:val="20"/>
                <w:szCs w:val="20"/>
                <w:color w:val="auto"/>
              </w:rPr>
            </w:pPr>
            <w:r>
              <w:rPr>
                <w:rFonts w:ascii="Arial" w:cs="Arial" w:eastAsia="Arial" w:hAnsi="Arial"/>
                <w:sz w:val="16"/>
                <w:szCs w:val="16"/>
                <w:color w:val="auto"/>
              </w:rPr>
              <w:t>Total current liabilities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46,402</w:t>
            </w:r>
          </w:p>
        </w:tc>
        <w:tc>
          <w:tcPr>
            <w:tcW w:w="0" w:type="dxa"/>
            <w:vAlign w:val="bottom"/>
          </w:tcPr>
          <w:p>
            <w:pPr>
              <w:spacing w:after="0"/>
              <w:rPr>
                <w:sz w:val="1"/>
                <w:szCs w:val="1"/>
                <w:color w:val="auto"/>
              </w:rPr>
            </w:pPr>
          </w:p>
        </w:tc>
      </w:tr>
      <w:tr>
        <w:trPr>
          <w:trHeight w:val="215"/>
        </w:trPr>
        <w:tc>
          <w:tcPr>
            <w:tcW w:w="8140" w:type="dxa"/>
            <w:vAlign w:val="bottom"/>
            <w:gridSpan w:val="7"/>
          </w:tcPr>
          <w:p>
            <w:pPr>
              <w:ind w:left="20"/>
              <w:spacing w:after="0"/>
              <w:rPr>
                <w:sz w:val="20"/>
                <w:szCs w:val="20"/>
                <w:color w:val="auto"/>
              </w:rPr>
            </w:pPr>
            <w:r>
              <w:rPr>
                <w:rFonts w:ascii="Arial" w:cs="Arial" w:eastAsia="Arial" w:hAnsi="Arial"/>
                <w:sz w:val="16"/>
                <w:szCs w:val="16"/>
                <w:color w:val="auto"/>
              </w:rPr>
              <w:t>Deferred revenue, noncurrent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35,177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25,172</w:t>
            </w:r>
          </w:p>
        </w:tc>
        <w:tc>
          <w:tcPr>
            <w:tcW w:w="0" w:type="dxa"/>
            <w:vAlign w:val="bottom"/>
          </w:tcPr>
          <w:p>
            <w:pPr>
              <w:spacing w:after="0"/>
              <w:rPr>
                <w:sz w:val="1"/>
                <w:szCs w:val="1"/>
                <w:color w:val="auto"/>
              </w:rPr>
            </w:pPr>
          </w:p>
        </w:tc>
      </w:tr>
      <w:tr>
        <w:trPr>
          <w:trHeight w:val="217"/>
        </w:trPr>
        <w:tc>
          <w:tcPr>
            <w:tcW w:w="814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3,610</w:t>
            </w:r>
          </w:p>
        </w:tc>
        <w:tc>
          <w:tcPr>
            <w:tcW w:w="0" w:type="dxa"/>
            <w:vAlign w:val="bottom"/>
          </w:tcPr>
          <w:p>
            <w:pPr>
              <w:spacing w:after="0"/>
              <w:rPr>
                <w:sz w:val="1"/>
                <w:szCs w:val="1"/>
                <w:color w:val="auto"/>
              </w:rPr>
            </w:pPr>
          </w:p>
        </w:tc>
      </w:tr>
      <w:tr>
        <w:trPr>
          <w:trHeight w:val="215"/>
        </w:trPr>
        <w:tc>
          <w:tcPr>
            <w:tcW w:w="8140" w:type="dxa"/>
            <w:vAlign w:val="bottom"/>
            <w:gridSpan w:val="7"/>
          </w:tcPr>
          <w:p>
            <w:pPr>
              <w:ind w:left="20"/>
              <w:spacing w:after="0"/>
              <w:rPr>
                <w:sz w:val="20"/>
                <w:szCs w:val="20"/>
                <w:color w:val="auto"/>
              </w:rPr>
            </w:pPr>
            <w:r>
              <w:rPr>
                <w:rFonts w:ascii="Arial" w:cs="Arial" w:eastAsia="Arial" w:hAnsi="Arial"/>
                <w:sz w:val="16"/>
                <w:szCs w:val="16"/>
                <w:color w:val="auto"/>
              </w:rPr>
              <w:t>Vendor financing arrangements, noncurrent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1,292</w:t>
            </w:r>
          </w:p>
        </w:tc>
        <w:tc>
          <w:tcPr>
            <w:tcW w:w="0" w:type="dxa"/>
            <w:vAlign w:val="bottom"/>
          </w:tcPr>
          <w:p>
            <w:pPr>
              <w:spacing w:after="0"/>
              <w:rPr>
                <w:sz w:val="1"/>
                <w:szCs w:val="1"/>
                <w:color w:val="auto"/>
              </w:rPr>
            </w:pPr>
          </w:p>
        </w:tc>
      </w:tr>
      <w:tr>
        <w:trPr>
          <w:trHeight w:val="217"/>
        </w:trPr>
        <w:tc>
          <w:tcPr>
            <w:tcW w:w="814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rPr>
              <w:t>Deferred income, noncurrent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8,810</w:t>
            </w:r>
          </w:p>
        </w:tc>
        <w:tc>
          <w:tcPr>
            <w:tcW w:w="0" w:type="dxa"/>
            <w:vAlign w:val="bottom"/>
          </w:tcPr>
          <w:p>
            <w:pPr>
              <w:spacing w:after="0"/>
              <w:rPr>
                <w:sz w:val="1"/>
                <w:szCs w:val="1"/>
                <w:color w:val="auto"/>
              </w:rPr>
            </w:pPr>
          </w:p>
        </w:tc>
      </w:tr>
      <w:tr>
        <w:trPr>
          <w:trHeight w:val="215"/>
        </w:trPr>
        <w:tc>
          <w:tcPr>
            <w:tcW w:w="8140" w:type="dxa"/>
            <w:vAlign w:val="bottom"/>
            <w:tcBorders>
              <w:bottom w:val="single" w:sz="8" w:color="CCEEFF"/>
            </w:tcBorders>
            <w:gridSpan w:val="7"/>
          </w:tcPr>
          <w:p>
            <w:pPr>
              <w:ind w:left="2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2,412</w:t>
            </w:r>
          </w:p>
        </w:tc>
        <w:tc>
          <w:tcPr>
            <w:tcW w:w="0" w:type="dxa"/>
            <w:vAlign w:val="bottom"/>
          </w:tcPr>
          <w:p>
            <w:pPr>
              <w:spacing w:after="0"/>
              <w:rPr>
                <w:sz w:val="1"/>
                <w:szCs w:val="1"/>
                <w:color w:val="auto"/>
              </w:rPr>
            </w:pPr>
          </w:p>
        </w:tc>
      </w:tr>
      <w:tr>
        <w:trPr>
          <w:trHeight w:val="210"/>
        </w:trPr>
        <w:tc>
          <w:tcPr>
            <w:tcW w:w="8140" w:type="dxa"/>
            <w:vAlign w:val="bottom"/>
            <w:gridSpan w:val="7"/>
            <w:shd w:val="clear" w:color="auto" w:fill="CCEEFF"/>
          </w:tcPr>
          <w:p>
            <w:pPr>
              <w:ind w:left="56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107,323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87,698</w:t>
            </w:r>
          </w:p>
        </w:tc>
        <w:tc>
          <w:tcPr>
            <w:tcW w:w="0" w:type="dxa"/>
            <w:vAlign w:val="bottom"/>
          </w:tcPr>
          <w:p>
            <w:pPr>
              <w:spacing w:after="0"/>
              <w:rPr>
                <w:sz w:val="1"/>
                <w:szCs w:val="1"/>
                <w:color w:val="auto"/>
              </w:rPr>
            </w:pPr>
          </w:p>
        </w:tc>
      </w:tr>
      <w:tr>
        <w:trPr>
          <w:trHeight w:val="156"/>
        </w:trPr>
        <w:tc>
          <w:tcPr>
            <w:tcW w:w="8140" w:type="dxa"/>
            <w:vAlign w:val="bottom"/>
            <w:gridSpan w:val="7"/>
          </w:tcPr>
          <w:p>
            <w:pPr>
              <w:ind w:left="20"/>
              <w:spacing w:after="0" w:line="155" w:lineRule="exact"/>
              <w:rPr>
                <w:sz w:val="20"/>
                <w:szCs w:val="20"/>
                <w:color w:val="auto"/>
              </w:rPr>
            </w:pPr>
            <w:r>
              <w:rPr>
                <w:rFonts w:ascii="Arial" w:cs="Arial" w:eastAsia="Arial" w:hAnsi="Arial"/>
                <w:sz w:val="16"/>
                <w:szCs w:val="16"/>
                <w:color w:val="auto"/>
              </w:rPr>
              <w:t>Commitments and contingencies (</w:t>
            </w:r>
            <w:r>
              <w:rPr>
                <w:rFonts w:ascii="Arial" w:cs="Arial" w:eastAsia="Arial" w:hAnsi="Arial"/>
                <w:sz w:val="16"/>
                <w:szCs w:val="16"/>
                <w:color w:val="0000FF"/>
              </w:rPr>
              <w:t>Note 11</w:t>
            </w:r>
            <w:r>
              <w:rPr>
                <w:rFonts w:ascii="Arial" w:cs="Arial" w:eastAsia="Arial" w:hAnsi="Arial"/>
                <w:sz w:val="16"/>
                <w:szCs w:val="16"/>
                <w:color w:val="auto"/>
              </w:rPr>
              <w:t>)</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rPr>
              <w:t>Stockholders’ (deficit) equity:</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40" w:type="dxa"/>
            <w:vAlign w:val="bottom"/>
            <w:gridSpan w:val="7"/>
          </w:tcPr>
          <w:p>
            <w:pPr>
              <w:ind w:left="180"/>
              <w:spacing w:after="0"/>
              <w:rPr>
                <w:sz w:val="20"/>
                <w:szCs w:val="20"/>
                <w:color w:val="auto"/>
              </w:rPr>
            </w:pPr>
            <w:r>
              <w:rPr>
                <w:rFonts w:ascii="Arial" w:cs="Arial" w:eastAsia="Arial" w:hAnsi="Arial"/>
                <w:sz w:val="16"/>
                <w:szCs w:val="16"/>
                <w:color w:val="auto"/>
              </w:rPr>
              <w:t>Preferred stock, par value of $0.001—10,000,000 shares authorized and no shares issued and outstanding as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gridSpan w:val="7"/>
          </w:tcPr>
          <w:p>
            <w:pPr>
              <w:ind w:left="360"/>
              <w:spacing w:after="0"/>
              <w:rPr>
                <w:sz w:val="20"/>
                <w:szCs w:val="20"/>
                <w:color w:val="auto"/>
              </w:rPr>
            </w:pPr>
            <w:r>
              <w:rPr>
                <w:rFonts w:ascii="Arial" w:cs="Arial" w:eastAsia="Arial" w:hAnsi="Arial"/>
                <w:sz w:val="16"/>
                <w:szCs w:val="16"/>
                <w:color w:val="auto"/>
              </w:rPr>
              <w:t>of both December 31, 2024, and 2023</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140" w:type="dxa"/>
            <w:vAlign w:val="bottom"/>
            <w:gridSpan w:val="7"/>
            <w:shd w:val="clear" w:color="auto" w:fill="CCEEFF"/>
          </w:tcPr>
          <w:p>
            <w:pPr>
              <w:ind w:left="180"/>
              <w:spacing w:after="0"/>
              <w:rPr>
                <w:sz w:val="20"/>
                <w:szCs w:val="20"/>
                <w:color w:val="auto"/>
              </w:rPr>
            </w:pPr>
            <w:r>
              <w:rPr>
                <w:rFonts w:ascii="Arial" w:cs="Arial" w:eastAsia="Arial" w:hAnsi="Arial"/>
                <w:sz w:val="16"/>
                <w:szCs w:val="16"/>
                <w:color w:val="auto"/>
              </w:rPr>
              <w:t>Common stock, par value of $0.001—300,000,000 shares authorized at December 31, 2024, and 2023;</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gridSpan w:val="7"/>
            <w:shd w:val="clear" w:color="auto" w:fill="CCEEFF"/>
          </w:tcPr>
          <w:p>
            <w:pPr>
              <w:ind w:left="360"/>
              <w:spacing w:after="0"/>
              <w:rPr>
                <w:sz w:val="20"/>
                <w:szCs w:val="20"/>
                <w:color w:val="auto"/>
              </w:rPr>
            </w:pPr>
            <w:r>
              <w:rPr>
                <w:rFonts w:ascii="Arial" w:cs="Arial" w:eastAsia="Arial" w:hAnsi="Arial"/>
                <w:sz w:val="16"/>
                <w:szCs w:val="16"/>
                <w:color w:val="auto"/>
              </w:rPr>
              <w:t>40,724,936 and 37,518,583 shares issued and outstanding at December 31, 2024, and 2023, respectively</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5"/>
        </w:trPr>
        <w:tc>
          <w:tcPr>
            <w:tcW w:w="8140" w:type="dxa"/>
            <w:vAlign w:val="bottom"/>
            <w:gridSpan w:val="7"/>
          </w:tcPr>
          <w:p>
            <w:pPr>
              <w:ind w:left="2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135,522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118,193</w:t>
            </w:r>
          </w:p>
        </w:tc>
        <w:tc>
          <w:tcPr>
            <w:tcW w:w="0" w:type="dxa"/>
            <w:vAlign w:val="bottom"/>
          </w:tcPr>
          <w:p>
            <w:pPr>
              <w:spacing w:after="0"/>
              <w:rPr>
                <w:sz w:val="1"/>
                <w:szCs w:val="1"/>
                <w:color w:val="auto"/>
              </w:rPr>
            </w:pPr>
          </w:p>
        </w:tc>
      </w:tr>
      <w:tr>
        <w:trPr>
          <w:trHeight w:val="217"/>
        </w:trPr>
        <w:tc>
          <w:tcPr>
            <w:tcW w:w="814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5"/>
        </w:trPr>
        <w:tc>
          <w:tcPr>
            <w:tcW w:w="8140" w:type="dxa"/>
            <w:vAlign w:val="bottom"/>
            <w:tcBorders>
              <w:bottom w:val="single" w:sz="8" w:color="CCEEFF"/>
            </w:tcBorders>
            <w:gridSpan w:val="7"/>
          </w:tcPr>
          <w:p>
            <w:pPr>
              <w:ind w:left="2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(136,885)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(103,247)</w:t>
            </w:r>
          </w:p>
        </w:tc>
        <w:tc>
          <w:tcPr>
            <w:tcW w:w="0" w:type="dxa"/>
            <w:vAlign w:val="bottom"/>
          </w:tcPr>
          <w:p>
            <w:pPr>
              <w:spacing w:after="0"/>
              <w:rPr>
                <w:sz w:val="1"/>
                <w:szCs w:val="1"/>
                <w:color w:val="auto"/>
              </w:rPr>
            </w:pPr>
          </w:p>
        </w:tc>
      </w:tr>
      <w:tr>
        <w:trPr>
          <w:trHeight w:val="209"/>
        </w:trPr>
        <w:tc>
          <w:tcPr>
            <w:tcW w:w="8140" w:type="dxa"/>
            <w:vAlign w:val="bottom"/>
            <w:gridSpan w:val="7"/>
            <w:shd w:val="clear" w:color="auto" w:fill="CCEEFF"/>
          </w:tcPr>
          <w:p>
            <w:pPr>
              <w:ind w:left="560"/>
              <w:spacing w:after="0"/>
              <w:rPr>
                <w:sz w:val="20"/>
                <w:szCs w:val="20"/>
                <w:color w:val="auto"/>
              </w:rPr>
            </w:pPr>
            <w:r>
              <w:rPr>
                <w:rFonts w:ascii="Arial" w:cs="Arial" w:eastAsia="Arial" w:hAnsi="Arial"/>
                <w:sz w:val="16"/>
                <w:szCs w:val="16"/>
                <w:color w:val="auto"/>
              </w:rPr>
              <w:t>Total stockholders’ (deficit) equity</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15,103</w:t>
            </w:r>
          </w:p>
        </w:tc>
        <w:tc>
          <w:tcPr>
            <w:tcW w:w="0" w:type="dxa"/>
            <w:vAlign w:val="bottom"/>
          </w:tcPr>
          <w:p>
            <w:pPr>
              <w:spacing w:after="0"/>
              <w:rPr>
                <w:sz w:val="1"/>
                <w:szCs w:val="1"/>
                <w:color w:val="auto"/>
              </w:rPr>
            </w:pPr>
          </w:p>
        </w:tc>
      </w:tr>
      <w:tr>
        <w:trPr>
          <w:trHeight w:val="210"/>
        </w:trPr>
        <w:tc>
          <w:tcPr>
            <w:tcW w:w="8140" w:type="dxa"/>
            <w:vAlign w:val="bottom"/>
            <w:gridSpan w:val="7"/>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106,135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102,801</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Arteris,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7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r>
      <w:tr>
        <w:trPr>
          <w:trHeight w:val="211"/>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7"/>
        </w:trPr>
        <w:tc>
          <w:tcPr>
            <w:tcW w:w="7940" w:type="dxa"/>
            <w:vAlign w:val="bottom"/>
          </w:tcPr>
          <w:p>
            <w:pPr>
              <w:ind w:left="240"/>
              <w:spacing w:after="0"/>
              <w:rPr>
                <w:sz w:val="20"/>
                <w:szCs w:val="20"/>
                <w:color w:val="auto"/>
              </w:rPr>
            </w:pPr>
            <w:r>
              <w:rPr>
                <w:rFonts w:ascii="Arial" w:cs="Arial" w:eastAsia="Arial" w:hAnsi="Arial"/>
                <w:sz w:val="17"/>
                <w:szCs w:val="17"/>
                <w:color w:val="auto"/>
              </w:rPr>
              <w:t>Licensing, support and maintenance</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52,815</w:t>
            </w:r>
          </w:p>
        </w:tc>
        <w:tc>
          <w:tcPr>
            <w:tcW w:w="10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48,273</w:t>
            </w:r>
          </w:p>
        </w:tc>
      </w:tr>
      <w:tr>
        <w:trPr>
          <w:trHeight w:val="232"/>
        </w:trPr>
        <w:tc>
          <w:tcPr>
            <w:tcW w:w="7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Variable royalties and other</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4,909</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5,393</w:t>
            </w:r>
          </w:p>
        </w:tc>
      </w:tr>
      <w:tr>
        <w:trPr>
          <w:trHeight w:val="221"/>
        </w:trPr>
        <w:tc>
          <w:tcPr>
            <w:tcW w:w="794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57,724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53,666</w:t>
            </w:r>
          </w:p>
        </w:tc>
      </w:tr>
      <w:tr>
        <w:trPr>
          <w:trHeight w:val="232"/>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5,962</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5,077</w:t>
            </w:r>
          </w:p>
        </w:tc>
      </w:tr>
      <w:tr>
        <w:trPr>
          <w:trHeight w:val="221"/>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profit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48,589</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7"/>
        </w:trPr>
        <w:tc>
          <w:tcPr>
            <w:tcW w:w="794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45,007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45,128</w:t>
            </w:r>
          </w:p>
        </w:tc>
      </w:tr>
      <w:tr>
        <w:trPr>
          <w:trHeight w:val="232"/>
        </w:trPr>
        <w:tc>
          <w:tcPr>
            <w:tcW w:w="7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Sales and marketing</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20,796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20,659</w:t>
            </w:r>
          </w:p>
        </w:tc>
      </w:tr>
      <w:tr>
        <w:trPr>
          <w:trHeight w:val="227"/>
        </w:trPr>
        <w:tc>
          <w:tcPr>
            <w:tcW w:w="79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17,944</w:t>
            </w:r>
          </w:p>
        </w:tc>
      </w:tr>
      <w:tr>
        <w:trPr>
          <w:trHeight w:val="225"/>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83,358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83,731</w:t>
            </w:r>
          </w:p>
        </w:tc>
      </w:tr>
      <w:tr>
        <w:trPr>
          <w:trHeight w:val="221"/>
        </w:trPr>
        <w:tc>
          <w:tcPr>
            <w:tcW w:w="794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(31,596)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(35,142)</w:t>
            </w:r>
          </w:p>
        </w:tc>
      </w:tr>
      <w:tr>
        <w:trPr>
          <w:trHeight w:val="232"/>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r>
      <w:tr>
        <w:trPr>
          <w:trHeight w:val="227"/>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(expense), net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3,558</w:t>
            </w:r>
          </w:p>
        </w:tc>
      </w:tr>
      <w:tr>
        <w:trPr>
          <w:trHeight w:val="225"/>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income taxes and loss from equity method investment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(31,795)</w:t>
            </w:r>
          </w:p>
        </w:tc>
      </w:tr>
      <w:tr>
        <w:trPr>
          <w:trHeight w:val="227"/>
        </w:trPr>
        <w:tc>
          <w:tcPr>
            <w:tcW w:w="7940" w:type="dxa"/>
            <w:vAlign w:val="bottom"/>
          </w:tcPr>
          <w:p>
            <w:pPr>
              <w:ind w:left="20"/>
              <w:spacing w:after="0"/>
              <w:rPr>
                <w:sz w:val="20"/>
                <w:szCs w:val="20"/>
                <w:color w:val="auto"/>
              </w:rPr>
            </w:pPr>
            <w:r>
              <w:rPr>
                <w:rFonts w:ascii="Arial" w:cs="Arial" w:eastAsia="Arial" w:hAnsi="Arial"/>
                <w:sz w:val="17"/>
                <w:szCs w:val="17"/>
                <w:color w:val="auto"/>
              </w:rPr>
              <w:t>Loss from equity method investment, net of tax</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3,397</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1,677</w:t>
            </w:r>
          </w:p>
        </w:tc>
      </w:tr>
      <w:tr>
        <w:trPr>
          <w:trHeight w:val="225"/>
        </w:trPr>
        <w:tc>
          <w:tcPr>
            <w:tcW w:w="7940" w:type="dxa"/>
            <w:vAlign w:val="bottom"/>
          </w:tcPr>
          <w:p>
            <w:pPr>
              <w:ind w:left="20"/>
              <w:spacing w:after="0"/>
              <w:rPr>
                <w:sz w:val="20"/>
                <w:szCs w:val="20"/>
                <w:color w:val="auto"/>
              </w:rPr>
            </w:pPr>
            <w:r>
              <w:rPr>
                <w:rFonts w:ascii="Arial" w:cs="Arial" w:eastAsia="Arial" w:hAnsi="Arial"/>
                <w:sz w:val="17"/>
                <w:szCs w:val="17"/>
                <w:color w:val="auto"/>
              </w:rPr>
              <w:t>Net loss</w:t>
            </w: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(33,638)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(36,869)</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7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7"/>
        </w:trPr>
        <w:tc>
          <w:tcPr>
            <w:tcW w:w="7940" w:type="dxa"/>
            <w:vAlign w:val="bottom"/>
          </w:tcPr>
          <w:p>
            <w:pPr>
              <w:ind w:left="20"/>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(0.86)</w:t>
            </w:r>
          </w:p>
        </w:tc>
        <w:tc>
          <w:tcPr>
            <w:tcW w:w="10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232"/>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used in computing per share amounts, basic and diluted</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38,914,197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35,675,689</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Arteris,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(36,869)</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Unrealized (losses) gains on available-for-sale securities, net of tax</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27"/>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Unrealized pension actuarial gain (loss)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(36,850)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Arteris,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(In thousands, except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gridSpan w:val="6"/>
          </w:tcPr>
          <w:p>
            <w:pPr>
              <w:ind w:left="20"/>
              <w:spacing w:after="0"/>
              <w:rPr>
                <w:sz w:val="20"/>
                <w:szCs w:val="20"/>
                <w:color w:val="auto"/>
              </w:rPr>
            </w:pPr>
            <w:r>
              <w:rPr>
                <w:rFonts w:ascii="Arial" w:cs="Arial" w:eastAsia="Arial" w:hAnsi="Arial"/>
                <w:sz w:val="15"/>
                <w:szCs w:val="15"/>
                <w:b w:val="1"/>
                <w:bCs w:val="1"/>
                <w:color w:val="auto"/>
              </w:rPr>
              <w:t>Stockholders’ Equity (Deficit)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Additional</w:t>
            </w: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Accumulated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840" w:type="dxa"/>
            <w:vAlign w:val="bottom"/>
            <w:gridSpan w:val="5"/>
            <w:vMerge w:val="restart"/>
          </w:tcPr>
          <w:p>
            <w:pPr>
              <w:ind w:left="320"/>
              <w:spacing w:after="0"/>
              <w:rPr>
                <w:sz w:val="20"/>
                <w:szCs w:val="20"/>
                <w:color w:val="auto"/>
              </w:rPr>
            </w:pPr>
            <w:r>
              <w:rPr>
                <w:rFonts w:ascii="Arial" w:cs="Arial" w:eastAsia="Arial" w:hAnsi="Arial"/>
                <w:sz w:val="15"/>
                <w:szCs w:val="15"/>
                <w:b w:val="1"/>
                <w:bCs w:val="1"/>
                <w:color w:val="auto"/>
              </w:rPr>
              <w:t>Common Stock</w:t>
            </w:r>
          </w:p>
        </w:tc>
        <w:tc>
          <w:tcPr>
            <w:tcW w:w="8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9"/>
              </w:rPr>
              <w:t>Other</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020" w:type="dxa"/>
            <w:vAlign w:val="bottom"/>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Paid-In</w:t>
            </w:r>
          </w:p>
        </w:tc>
        <w:tc>
          <w:tcPr>
            <w:tcW w:w="1280" w:type="dxa"/>
            <w:vAlign w:val="bottom"/>
            <w:gridSpan w:val="3"/>
            <w:vMerge w:val="restart"/>
          </w:tcPr>
          <w:p>
            <w:pPr>
              <w:jc w:val="center"/>
              <w:ind w:right="80"/>
              <w:spacing w:after="0"/>
              <w:rPr>
                <w:sz w:val="20"/>
                <w:szCs w:val="20"/>
                <w:color w:val="auto"/>
              </w:rPr>
            </w:pPr>
            <w:r>
              <w:rPr>
                <w:rFonts w:ascii="Arial" w:cs="Arial" w:eastAsia="Arial" w:hAnsi="Arial"/>
                <w:sz w:val="15"/>
                <w:szCs w:val="15"/>
                <w:b w:val="1"/>
                <w:bCs w:val="1"/>
                <w:color w:val="auto"/>
              </w:rPr>
              <w:t>Comprehensive</w:t>
            </w:r>
          </w:p>
        </w:tc>
        <w:tc>
          <w:tcPr>
            <w:tcW w:w="108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Accumulated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tcPr>
          <w:p>
            <w:pPr>
              <w:spacing w:after="0"/>
              <w:rPr>
                <w:sz w:val="19"/>
                <w:szCs w:val="19"/>
                <w:color w:val="auto"/>
              </w:rPr>
            </w:pPr>
          </w:p>
        </w:tc>
        <w:tc>
          <w:tcPr>
            <w:tcW w:w="94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120" w:type="dxa"/>
            <w:vAlign w:val="bottom"/>
          </w:tcPr>
          <w:p>
            <w:pPr>
              <w:spacing w:after="0"/>
              <w:rPr>
                <w:sz w:val="19"/>
                <w:szCs w:val="19"/>
                <w:color w:val="auto"/>
              </w:rPr>
            </w:pPr>
          </w:p>
        </w:tc>
        <w:tc>
          <w:tcPr>
            <w:tcW w:w="780" w:type="dxa"/>
            <w:vAlign w:val="bottom"/>
            <w:gridSpan w:val="2"/>
          </w:tcPr>
          <w:p>
            <w:pPr>
              <w:spacing w:after="0"/>
              <w:rPr>
                <w:sz w:val="20"/>
                <w:szCs w:val="20"/>
                <w:color w:val="auto"/>
              </w:rPr>
            </w:pPr>
            <w:r>
              <w:rPr>
                <w:rFonts w:ascii="Arial" w:cs="Arial" w:eastAsia="Arial" w:hAnsi="Arial"/>
                <w:sz w:val="15"/>
                <w:szCs w:val="15"/>
                <w:b w:val="1"/>
                <w:bCs w:val="1"/>
                <w:color w:val="auto"/>
              </w:rPr>
              <w:t>Amount</w:t>
            </w:r>
          </w:p>
        </w:tc>
        <w:tc>
          <w:tcPr>
            <w:tcW w:w="12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5"/>
                <w:szCs w:val="15"/>
                <w:b w:val="1"/>
                <w:bCs w:val="1"/>
                <w:color w:val="auto"/>
              </w:rPr>
              <w:t>Capital</w:t>
            </w:r>
          </w:p>
        </w:tc>
        <w:tc>
          <w:tcPr>
            <w:tcW w:w="12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Income</w:t>
            </w:r>
          </w:p>
        </w:tc>
        <w:tc>
          <w:tcPr>
            <w:tcW w:w="18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Deficit</w:t>
            </w:r>
          </w:p>
        </w:tc>
        <w:tc>
          <w:tcPr>
            <w:tcW w:w="140" w:type="dxa"/>
            <w:vAlign w:val="bottom"/>
          </w:tcPr>
          <w:p>
            <w:pPr>
              <w:spacing w:after="0"/>
              <w:rPr>
                <w:sz w:val="19"/>
                <w:szCs w:val="19"/>
                <w:color w:val="auto"/>
              </w:rPr>
            </w:pPr>
          </w:p>
        </w:tc>
        <w:tc>
          <w:tcPr>
            <w:tcW w:w="600" w:type="dxa"/>
            <w:vAlign w:val="bottom"/>
          </w:tcPr>
          <w:p>
            <w:pPr>
              <w:jc w:val="right"/>
              <w:ind w:right="10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34,625,875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103,778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(66,378)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37,535</w:t>
            </w:r>
          </w:p>
        </w:tc>
        <w:tc>
          <w:tcPr>
            <w:tcW w:w="0" w:type="dxa"/>
            <w:vAlign w:val="bottom"/>
          </w:tcPr>
          <w:p>
            <w:pPr>
              <w:spacing w:after="0"/>
              <w:rPr>
                <w:sz w:val="1"/>
                <w:szCs w:val="1"/>
                <w:color w:val="auto"/>
              </w:rPr>
            </w:pPr>
          </w:p>
        </w:tc>
      </w:tr>
      <w:tr>
        <w:trPr>
          <w:trHeight w:val="240"/>
        </w:trPr>
        <w:tc>
          <w:tcPr>
            <w:tcW w:w="5020" w:type="dxa"/>
            <w:vAlign w:val="bottom"/>
          </w:tcPr>
          <w:p>
            <w:pPr>
              <w:ind w:left="20"/>
              <w:spacing w:after="0"/>
              <w:rPr>
                <w:sz w:val="20"/>
                <w:szCs w:val="20"/>
                <w:color w:val="auto"/>
              </w:rPr>
            </w:pPr>
            <w:r>
              <w:rPr>
                <w:rFonts w:ascii="Arial" w:cs="Arial" w:eastAsia="Arial" w:hAnsi="Arial"/>
                <w:sz w:val="15"/>
                <w:szCs w:val="15"/>
                <w:color w:val="auto"/>
              </w:rPr>
              <w:t>Issuance of common stock upon exercise of stock options</w:t>
            </w:r>
          </w:p>
        </w:tc>
        <w:tc>
          <w:tcPr>
            <w:tcW w:w="860" w:type="dxa"/>
            <w:vAlign w:val="bottom"/>
          </w:tcPr>
          <w:p>
            <w:pPr>
              <w:jc w:val="right"/>
              <w:spacing w:after="0"/>
              <w:rPr>
                <w:sz w:val="20"/>
                <w:szCs w:val="20"/>
                <w:color w:val="auto"/>
              </w:rPr>
            </w:pPr>
            <w:r>
              <w:rPr>
                <w:rFonts w:ascii="Arial" w:cs="Arial" w:eastAsia="Arial" w:hAnsi="Arial"/>
                <w:sz w:val="15"/>
                <w:szCs w:val="15"/>
                <w:color w:val="auto"/>
              </w:rPr>
              <w:t>932,738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489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490</w:t>
            </w: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common stock for settlement of Restricted Stock Units</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0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(RSUs)</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2,048,939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0"/>
        </w:trPr>
        <w:tc>
          <w:tcPr>
            <w:tcW w:w="5020" w:type="dxa"/>
            <w:vAlign w:val="bottom"/>
          </w:tcPr>
          <w:p>
            <w:pPr>
              <w:ind w:left="20"/>
              <w:spacing w:after="0"/>
              <w:rPr>
                <w:sz w:val="20"/>
                <w:szCs w:val="20"/>
                <w:color w:val="auto"/>
              </w:rPr>
            </w:pPr>
            <w:r>
              <w:rPr>
                <w:rFonts w:ascii="Arial" w:cs="Arial" w:eastAsia="Arial" w:hAnsi="Arial"/>
                <w:sz w:val="15"/>
                <w:szCs w:val="15"/>
                <w:color w:val="auto"/>
              </w:rPr>
              <w:t>Tax withholding on RSUs settlement</w:t>
            </w:r>
          </w:p>
        </w:tc>
        <w:tc>
          <w:tcPr>
            <w:tcW w:w="860" w:type="dxa"/>
            <w:vAlign w:val="bottom"/>
          </w:tcPr>
          <w:p>
            <w:pPr>
              <w:jc w:val="right"/>
              <w:spacing w:after="0"/>
              <w:rPr>
                <w:sz w:val="20"/>
                <w:szCs w:val="20"/>
                <w:color w:val="auto"/>
              </w:rPr>
            </w:pPr>
            <w:r>
              <w:rPr>
                <w:rFonts w:ascii="Arial" w:cs="Arial" w:eastAsia="Arial" w:hAnsi="Arial"/>
                <w:sz w:val="15"/>
                <w:szCs w:val="15"/>
                <w:color w:val="auto"/>
              </w:rPr>
              <w:t>(88,969)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(607)</w:t>
            </w:r>
          </w:p>
        </w:tc>
        <w:tc>
          <w:tcPr>
            <w:tcW w:w="0" w:type="dxa"/>
            <w:vAlign w:val="bottom"/>
          </w:tcPr>
          <w:p>
            <w:pPr>
              <w:spacing w:after="0"/>
              <w:rPr>
                <w:sz w:val="1"/>
                <w:szCs w:val="1"/>
                <w:color w:val="auto"/>
              </w:rPr>
            </w:pPr>
          </w:p>
        </w:tc>
      </w:tr>
      <w:tr>
        <w:trPr>
          <w:trHeight w:val="246"/>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14,535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14,535</w:t>
            </w:r>
          </w:p>
        </w:tc>
        <w:tc>
          <w:tcPr>
            <w:tcW w:w="0" w:type="dxa"/>
            <w:vAlign w:val="bottom"/>
          </w:tcPr>
          <w:p>
            <w:pPr>
              <w:spacing w:after="0"/>
              <w:rPr>
                <w:sz w:val="1"/>
                <w:szCs w:val="1"/>
                <w:color w:val="auto"/>
              </w:rPr>
            </w:pPr>
          </w:p>
        </w:tc>
      </w:tr>
      <w:tr>
        <w:trPr>
          <w:trHeight w:val="240"/>
        </w:trPr>
        <w:tc>
          <w:tcPr>
            <w:tcW w:w="5020" w:type="dxa"/>
            <w:vAlign w:val="bottom"/>
          </w:tcPr>
          <w:p>
            <w:pPr>
              <w:ind w:left="20"/>
              <w:spacing w:after="0"/>
              <w:rPr>
                <w:sz w:val="20"/>
                <w:szCs w:val="20"/>
                <w:color w:val="auto"/>
              </w:rPr>
            </w:pPr>
            <w:r>
              <w:rPr>
                <w:rFonts w:ascii="Arial" w:cs="Arial" w:eastAsia="Arial" w:hAnsi="Arial"/>
                <w:sz w:val="15"/>
                <w:szCs w:val="15"/>
                <w:color w:val="auto"/>
              </w:rPr>
              <w:t>Unrealized gains on available-for-sale securities, net of tax</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93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246"/>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Unrealized pension actuarial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240"/>
        </w:trPr>
        <w:tc>
          <w:tcPr>
            <w:tcW w:w="5020" w:type="dxa"/>
            <w:vAlign w:val="bottom"/>
          </w:tcPr>
          <w:p>
            <w:pPr>
              <w:ind w:left="20"/>
              <w:spacing w:after="0"/>
              <w:rPr>
                <w:sz w:val="20"/>
                <w:szCs w:val="20"/>
                <w:color w:val="auto"/>
              </w:rPr>
            </w:pPr>
            <w:r>
              <w:rPr>
                <w:rFonts w:ascii="Arial" w:cs="Arial" w:eastAsia="Arial" w:hAnsi="Arial"/>
                <w:sz w:val="15"/>
                <w:szCs w:val="15"/>
                <w:color w:val="auto"/>
              </w:rPr>
              <w:t>Net loss</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(36,869)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(36,869)</w:t>
            </w:r>
          </w:p>
        </w:tc>
        <w:tc>
          <w:tcPr>
            <w:tcW w:w="0" w:type="dxa"/>
            <w:vAlign w:val="bottom"/>
          </w:tcPr>
          <w:p>
            <w:pPr>
              <w:spacing w:after="0"/>
              <w:rPr>
                <w:sz w:val="1"/>
                <w:szCs w:val="1"/>
                <w:color w:val="auto"/>
              </w:rPr>
            </w:pPr>
          </w:p>
        </w:tc>
      </w:tr>
      <w:tr>
        <w:trPr>
          <w:trHeight w:val="226"/>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BALANCE—December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37,518,583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118,193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(103,247)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15,103</w:t>
            </w:r>
          </w:p>
        </w:tc>
        <w:tc>
          <w:tcPr>
            <w:tcW w:w="0" w:type="dxa"/>
            <w:vAlign w:val="bottom"/>
          </w:tcPr>
          <w:p>
            <w:pPr>
              <w:spacing w:after="0"/>
              <w:rPr>
                <w:sz w:val="1"/>
                <w:szCs w:val="1"/>
                <w:color w:val="auto"/>
              </w:rPr>
            </w:pPr>
          </w:p>
        </w:tc>
      </w:tr>
      <w:tr>
        <w:trPr>
          <w:trHeight w:val="240"/>
        </w:trPr>
        <w:tc>
          <w:tcPr>
            <w:tcW w:w="5020" w:type="dxa"/>
            <w:vAlign w:val="bottom"/>
          </w:tcPr>
          <w:p>
            <w:pPr>
              <w:ind w:left="20"/>
              <w:spacing w:after="0"/>
              <w:rPr>
                <w:sz w:val="20"/>
                <w:szCs w:val="20"/>
                <w:color w:val="auto"/>
              </w:rPr>
            </w:pPr>
            <w:r>
              <w:rPr>
                <w:rFonts w:ascii="Arial" w:cs="Arial" w:eastAsia="Arial" w:hAnsi="Arial"/>
                <w:sz w:val="15"/>
                <w:szCs w:val="15"/>
                <w:color w:val="auto"/>
              </w:rPr>
              <w:t>Issuance of common stock upon exercise of stock options</w:t>
            </w:r>
          </w:p>
        </w:tc>
        <w:tc>
          <w:tcPr>
            <w:tcW w:w="860" w:type="dxa"/>
            <w:vAlign w:val="bottom"/>
          </w:tcPr>
          <w:p>
            <w:pPr>
              <w:jc w:val="right"/>
              <w:spacing w:after="0"/>
              <w:rPr>
                <w:sz w:val="20"/>
                <w:szCs w:val="20"/>
                <w:color w:val="auto"/>
              </w:rPr>
            </w:pPr>
            <w:r>
              <w:rPr>
                <w:rFonts w:ascii="Arial" w:cs="Arial" w:eastAsia="Arial" w:hAnsi="Arial"/>
                <w:sz w:val="15"/>
                <w:szCs w:val="15"/>
                <w:color w:val="auto"/>
              </w:rPr>
              <w:t>693,909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889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890</w:t>
            </w:r>
          </w:p>
        </w:tc>
        <w:tc>
          <w:tcPr>
            <w:tcW w:w="0" w:type="dxa"/>
            <w:vAlign w:val="bottom"/>
          </w:tcPr>
          <w:p>
            <w:pPr>
              <w:spacing w:after="0"/>
              <w:rPr>
                <w:sz w:val="1"/>
                <w:szCs w:val="1"/>
                <w:color w:val="auto"/>
              </w:rPr>
            </w:pPr>
          </w:p>
        </w:tc>
      </w:tr>
      <w:tr>
        <w:trPr>
          <w:trHeight w:val="246"/>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common stock for settlement of RSUs</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2,432,842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0"/>
        </w:trPr>
        <w:tc>
          <w:tcPr>
            <w:tcW w:w="5020" w:type="dxa"/>
            <w:vAlign w:val="bottom"/>
          </w:tcPr>
          <w:p>
            <w:pPr>
              <w:ind w:left="20"/>
              <w:spacing w:after="0"/>
              <w:rPr>
                <w:sz w:val="20"/>
                <w:szCs w:val="20"/>
                <w:color w:val="auto"/>
              </w:rPr>
            </w:pPr>
            <w:r>
              <w:rPr>
                <w:rFonts w:ascii="Arial" w:cs="Arial" w:eastAsia="Arial" w:hAnsi="Arial"/>
                <w:sz w:val="15"/>
                <w:szCs w:val="15"/>
                <w:color w:val="auto"/>
              </w:rPr>
              <w:t>Issuance of common stock under employee stock purchase plan</w:t>
            </w:r>
          </w:p>
        </w:tc>
        <w:tc>
          <w:tcPr>
            <w:tcW w:w="860" w:type="dxa"/>
            <w:vAlign w:val="bottom"/>
          </w:tcPr>
          <w:p>
            <w:pPr>
              <w:jc w:val="right"/>
              <w:spacing w:after="0"/>
              <w:rPr>
                <w:sz w:val="20"/>
                <w:szCs w:val="20"/>
                <w:color w:val="auto"/>
              </w:rPr>
            </w:pPr>
            <w:r>
              <w:rPr>
                <w:rFonts w:ascii="Arial" w:cs="Arial" w:eastAsia="Arial" w:hAnsi="Arial"/>
                <w:sz w:val="15"/>
                <w:szCs w:val="15"/>
                <w:color w:val="auto"/>
              </w:rPr>
              <w:t>79,602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538</w:t>
            </w:r>
          </w:p>
        </w:tc>
        <w:tc>
          <w:tcPr>
            <w:tcW w:w="0" w:type="dxa"/>
            <w:vAlign w:val="bottom"/>
          </w:tcPr>
          <w:p>
            <w:pPr>
              <w:spacing w:after="0"/>
              <w:rPr>
                <w:sz w:val="1"/>
                <w:szCs w:val="1"/>
                <w:color w:val="auto"/>
              </w:rPr>
            </w:pPr>
          </w:p>
        </w:tc>
      </w:tr>
      <w:tr>
        <w:trPr>
          <w:trHeight w:val="246"/>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15,904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15,904</w:t>
            </w:r>
          </w:p>
        </w:tc>
        <w:tc>
          <w:tcPr>
            <w:tcW w:w="0" w:type="dxa"/>
            <w:vAlign w:val="bottom"/>
          </w:tcPr>
          <w:p>
            <w:pPr>
              <w:spacing w:after="0"/>
              <w:rPr>
                <w:sz w:val="1"/>
                <w:szCs w:val="1"/>
                <w:color w:val="auto"/>
              </w:rPr>
            </w:pPr>
          </w:p>
        </w:tc>
      </w:tr>
      <w:tr>
        <w:trPr>
          <w:trHeight w:val="240"/>
        </w:trPr>
        <w:tc>
          <w:tcPr>
            <w:tcW w:w="5020" w:type="dxa"/>
            <w:vAlign w:val="bottom"/>
          </w:tcPr>
          <w:p>
            <w:pPr>
              <w:ind w:left="20"/>
              <w:spacing w:after="0"/>
              <w:rPr>
                <w:sz w:val="20"/>
                <w:szCs w:val="20"/>
                <w:color w:val="auto"/>
              </w:rPr>
            </w:pPr>
            <w:r>
              <w:rPr>
                <w:rFonts w:ascii="Arial" w:cs="Arial" w:eastAsia="Arial" w:hAnsi="Arial"/>
                <w:sz w:val="15"/>
                <w:szCs w:val="15"/>
                <w:color w:val="auto"/>
              </w:rPr>
              <w:t>Unrealized losses on available-for-sale securities, net of tax</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46"/>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Unrealized pension actuarial gain</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40"/>
        </w:trPr>
        <w:tc>
          <w:tcPr>
            <w:tcW w:w="5020" w:type="dxa"/>
            <w:vAlign w:val="bottom"/>
          </w:tcPr>
          <w:p>
            <w:pPr>
              <w:ind w:left="20"/>
              <w:spacing w:after="0"/>
              <w:rPr>
                <w:sz w:val="20"/>
                <w:szCs w:val="20"/>
                <w:color w:val="auto"/>
              </w:rPr>
            </w:pPr>
            <w:r>
              <w:rPr>
                <w:rFonts w:ascii="Arial" w:cs="Arial" w:eastAsia="Arial" w:hAnsi="Arial"/>
                <w:sz w:val="15"/>
                <w:szCs w:val="15"/>
                <w:color w:val="auto"/>
              </w:rPr>
              <w:t>Net loss</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(33,638)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(33,638)</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BALANCE—December 31, 2024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40,724,936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135,522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(136,885)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7" w:right="7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Arteris,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w:t>
      </w: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7800" w:type="dxa"/>
            <w:vAlign w:val="bottom"/>
            <w:shd w:val="clear" w:color="auto" w:fill="CCEEFF"/>
          </w:tcPr>
          <w:p>
            <w:pPr>
              <w:spacing w:after="0"/>
              <w:rPr>
                <w:sz w:val="16"/>
                <w:szCs w:val="16"/>
                <w:color w:val="auto"/>
              </w:rPr>
            </w:pPr>
          </w:p>
        </w:tc>
        <w:tc>
          <w:tcPr>
            <w:tcW w:w="2660" w:type="dxa"/>
            <w:vAlign w:val="bottom"/>
            <w:tcBorders>
              <w:bottom w:val="single" w:sz="8" w:color="auto"/>
            </w:tcBorders>
            <w:gridSpan w:val="4"/>
            <w:shd w:val="clear" w:color="auto" w:fill="CCEEFF"/>
          </w:tcPr>
          <w:p>
            <w:pPr>
              <w:jc w:val="right"/>
              <w:ind w:right="153"/>
              <w:spacing w:after="0"/>
              <w:rPr>
                <w:sz w:val="20"/>
                <w:szCs w:val="20"/>
                <w:color w:val="auto"/>
              </w:rPr>
            </w:pPr>
            <w:r>
              <w:rPr>
                <w:rFonts w:ascii="Arial" w:cs="Arial" w:eastAsia="Arial" w:hAnsi="Arial"/>
                <w:sz w:val="13"/>
                <w:szCs w:val="13"/>
                <w:b w:val="1"/>
                <w:bCs w:val="1"/>
                <w:color w:val="auto"/>
              </w:rPr>
              <w:t>Year ended December 31,</w:t>
            </w:r>
          </w:p>
        </w:tc>
        <w:tc>
          <w:tcPr>
            <w:tcW w:w="580" w:type="dxa"/>
            <w:vAlign w:val="bottom"/>
            <w:tcBorders>
              <w:bottom w:val="single" w:sz="8" w:color="auto"/>
            </w:tcBorders>
            <w:shd w:val="clear" w:color="auto" w:fill="CCEEFF"/>
          </w:tcPr>
          <w:p>
            <w:pPr>
              <w:spacing w:after="0"/>
              <w:rPr>
                <w:sz w:val="16"/>
                <w:szCs w:val="16"/>
                <w:color w:val="auto"/>
              </w:rPr>
            </w:pPr>
          </w:p>
        </w:tc>
      </w:tr>
      <w:tr>
        <w:trPr>
          <w:trHeight w:val="181"/>
        </w:trPr>
        <w:tc>
          <w:tcPr>
            <w:tcW w:w="78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80" w:type="dxa"/>
            <w:vAlign w:val="bottom"/>
            <w:tcBorders>
              <w:bottom w:val="single" w:sz="8" w:color="auto"/>
            </w:tcBorders>
          </w:tcPr>
          <w:p>
            <w:pPr>
              <w:spacing w:after="0"/>
              <w:rPr>
                <w:sz w:val="15"/>
                <w:szCs w:val="15"/>
                <w:color w:val="auto"/>
              </w:rPr>
            </w:pPr>
          </w:p>
        </w:tc>
      </w:tr>
      <w:tr>
        <w:trPr>
          <w:trHeight w:val="17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83"/>
        </w:trPr>
        <w:tc>
          <w:tcPr>
            <w:tcW w:w="7800" w:type="dxa"/>
            <w:vAlign w:val="bottom"/>
          </w:tcPr>
          <w:p>
            <w:pPr>
              <w:ind w:left="240"/>
              <w:spacing w:after="0"/>
              <w:rPr>
                <w:sz w:val="20"/>
                <w:szCs w:val="20"/>
                <w:color w:val="auto"/>
              </w:rPr>
            </w:pPr>
            <w:r>
              <w:rPr>
                <w:rFonts w:ascii="Arial" w:cs="Arial" w:eastAsia="Arial" w:hAnsi="Arial"/>
                <w:sz w:val="13"/>
                <w:szCs w:val="13"/>
                <w:color w:val="auto"/>
              </w:rPr>
              <w:t>Net loss</w:t>
            </w:r>
          </w:p>
        </w:tc>
        <w:tc>
          <w:tcPr>
            <w:tcW w:w="980" w:type="dxa"/>
            <w:vAlign w:val="bottom"/>
          </w:tcPr>
          <w:p>
            <w:pPr>
              <w:jc w:val="right"/>
              <w:ind w:right="833"/>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(33,638)</w:t>
            </w:r>
          </w:p>
        </w:tc>
        <w:tc>
          <w:tcPr>
            <w:tcW w:w="120" w:type="dxa"/>
            <w:vAlign w:val="bottom"/>
          </w:tcPr>
          <w:p>
            <w:pPr>
              <w:spacing w:after="0"/>
              <w:rPr>
                <w:sz w:val="15"/>
                <w:szCs w:val="15"/>
                <w:color w:val="auto"/>
              </w:rPr>
            </w:pPr>
          </w:p>
        </w:tc>
        <w:tc>
          <w:tcPr>
            <w:tcW w:w="980" w:type="dxa"/>
            <w:vAlign w:val="bottom"/>
          </w:tcPr>
          <w:p>
            <w:pPr>
              <w:jc w:val="right"/>
              <w:ind w:right="813"/>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(36,869)</w:t>
            </w:r>
          </w:p>
        </w:tc>
      </w:tr>
      <w:tr>
        <w:trPr>
          <w:trHeight w:val="195"/>
        </w:trPr>
        <w:tc>
          <w:tcPr>
            <w:tcW w:w="7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3"/>
        </w:trPr>
        <w:tc>
          <w:tcPr>
            <w:tcW w:w="7800" w:type="dxa"/>
            <w:vAlign w:val="bottom"/>
          </w:tcPr>
          <w:p>
            <w:pPr>
              <w:ind w:left="460"/>
              <w:spacing w:after="0"/>
              <w:rPr>
                <w:sz w:val="20"/>
                <w:szCs w:val="20"/>
                <w:color w:val="auto"/>
              </w:rPr>
            </w:pPr>
            <w:r>
              <w:rPr>
                <w:rFonts w:ascii="Arial" w:cs="Arial" w:eastAsia="Arial" w:hAnsi="Arial"/>
                <w:sz w:val="13"/>
                <w:szCs w:val="13"/>
                <w:color w:val="auto"/>
              </w:rPr>
              <w:t>Depreciation and amortization</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3,362</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3,069</w:t>
            </w:r>
          </w:p>
        </w:tc>
      </w:tr>
      <w:tr>
        <w:trPr>
          <w:trHeight w:val="195"/>
        </w:trPr>
        <w:tc>
          <w:tcPr>
            <w:tcW w:w="78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Stock-based compensation</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15,938</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14,535</w:t>
            </w:r>
          </w:p>
        </w:tc>
      </w:tr>
      <w:tr>
        <w:trPr>
          <w:trHeight w:val="183"/>
        </w:trPr>
        <w:tc>
          <w:tcPr>
            <w:tcW w:w="7800" w:type="dxa"/>
            <w:vAlign w:val="bottom"/>
          </w:tcPr>
          <w:p>
            <w:pPr>
              <w:ind w:left="460"/>
              <w:spacing w:after="0"/>
              <w:rPr>
                <w:sz w:val="20"/>
                <w:szCs w:val="20"/>
                <w:color w:val="auto"/>
              </w:rPr>
            </w:pPr>
            <w:r>
              <w:rPr>
                <w:rFonts w:ascii="Arial" w:cs="Arial" w:eastAsia="Arial" w:hAnsi="Arial"/>
                <w:sz w:val="13"/>
                <w:szCs w:val="13"/>
                <w:color w:val="auto"/>
              </w:rPr>
              <w:t>Pension plan expenses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163</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134</w:t>
            </w:r>
          </w:p>
        </w:tc>
      </w:tr>
      <w:tr>
        <w:trPr>
          <w:trHeight w:val="195"/>
        </w:trPr>
        <w:tc>
          <w:tcPr>
            <w:tcW w:w="78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Amortization of deferred income</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(1,182)</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w:t>
            </w:r>
          </w:p>
        </w:tc>
      </w:tr>
      <w:tr>
        <w:trPr>
          <w:trHeight w:val="183"/>
        </w:trPr>
        <w:tc>
          <w:tcPr>
            <w:tcW w:w="7800" w:type="dxa"/>
            <w:vAlign w:val="bottom"/>
          </w:tcPr>
          <w:p>
            <w:pPr>
              <w:ind w:left="460"/>
              <w:spacing w:after="0"/>
              <w:rPr>
                <w:sz w:val="20"/>
                <w:szCs w:val="20"/>
                <w:color w:val="auto"/>
              </w:rPr>
            </w:pPr>
            <w:r>
              <w:rPr>
                <w:rFonts w:ascii="Arial" w:cs="Arial" w:eastAsia="Arial" w:hAnsi="Arial"/>
                <w:sz w:val="13"/>
                <w:szCs w:val="13"/>
                <w:color w:val="auto"/>
              </w:rPr>
              <w:t>Loss from equity method investment</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2,698</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3,397</w:t>
            </w:r>
          </w:p>
        </w:tc>
      </w:tr>
      <w:tr>
        <w:trPr>
          <w:trHeight w:val="195"/>
        </w:trPr>
        <w:tc>
          <w:tcPr>
            <w:tcW w:w="78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Net accretion of discounts on available-for-sale securities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(893)</w:t>
            </w:r>
          </w:p>
        </w:tc>
      </w:tr>
      <w:tr>
        <w:trPr>
          <w:trHeight w:val="183"/>
        </w:trPr>
        <w:tc>
          <w:tcPr>
            <w:tcW w:w="7800" w:type="dxa"/>
            <w:vAlign w:val="bottom"/>
          </w:tcPr>
          <w:p>
            <w:pPr>
              <w:ind w:left="460"/>
              <w:spacing w:after="0"/>
              <w:rPr>
                <w:sz w:val="20"/>
                <w:szCs w:val="20"/>
                <w:color w:val="auto"/>
              </w:rPr>
            </w:pPr>
            <w:r>
              <w:rPr>
                <w:rFonts w:ascii="Arial" w:cs="Arial" w:eastAsia="Arial" w:hAnsi="Arial"/>
                <w:sz w:val="13"/>
                <w:szCs w:val="13"/>
                <w:color w:val="auto"/>
              </w:rPr>
              <w:t>Other, net</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128</w:t>
            </w:r>
          </w:p>
        </w:tc>
      </w:tr>
      <w:tr>
        <w:trPr>
          <w:trHeight w:val="195"/>
        </w:trPr>
        <w:tc>
          <w:tcPr>
            <w:tcW w:w="78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Changes in operating assets and liabilities: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3"/>
        </w:trPr>
        <w:tc>
          <w:tcPr>
            <w:tcW w:w="7800" w:type="dxa"/>
            <w:vAlign w:val="bottom"/>
          </w:tcPr>
          <w:p>
            <w:pPr>
              <w:ind w:left="660"/>
              <w:spacing w:after="0"/>
              <w:rPr>
                <w:sz w:val="20"/>
                <w:szCs w:val="20"/>
                <w:color w:val="auto"/>
              </w:rPr>
            </w:pPr>
            <w:r>
              <w:rPr>
                <w:rFonts w:ascii="Arial" w:cs="Arial" w:eastAsia="Arial" w:hAnsi="Arial"/>
                <w:sz w:val="13"/>
                <w:szCs w:val="13"/>
                <w:color w:val="auto"/>
              </w:rPr>
              <w:t>Accounts receivable, net</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(8,605)</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(4,858)</w:t>
            </w:r>
          </w:p>
        </w:tc>
      </w:tr>
      <w:tr>
        <w:trPr>
          <w:trHeight w:val="195"/>
        </w:trPr>
        <w:tc>
          <w:tcPr>
            <w:tcW w:w="78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Prepaid expenses and other assets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(1,068)</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(1,301)</w:t>
            </w:r>
          </w:p>
        </w:tc>
      </w:tr>
      <w:tr>
        <w:trPr>
          <w:trHeight w:val="183"/>
        </w:trPr>
        <w:tc>
          <w:tcPr>
            <w:tcW w:w="7800" w:type="dxa"/>
            <w:vAlign w:val="bottom"/>
          </w:tcPr>
          <w:p>
            <w:pPr>
              <w:ind w:left="660"/>
              <w:spacing w:after="0"/>
              <w:rPr>
                <w:sz w:val="20"/>
                <w:szCs w:val="20"/>
                <w:color w:val="auto"/>
              </w:rPr>
            </w:pPr>
            <w:r>
              <w:rPr>
                <w:rFonts w:ascii="Arial" w:cs="Arial" w:eastAsia="Arial" w:hAnsi="Arial"/>
                <w:sz w:val="13"/>
                <w:szCs w:val="13"/>
                <w:color w:val="auto"/>
              </w:rPr>
              <w:t>Accounts payable</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324</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(389)</w:t>
            </w:r>
          </w:p>
        </w:tc>
      </w:tr>
      <w:tr>
        <w:trPr>
          <w:trHeight w:val="195"/>
        </w:trPr>
        <w:tc>
          <w:tcPr>
            <w:tcW w:w="78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Accrued expenses and other liabilities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3,079</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2,467</w:t>
            </w:r>
          </w:p>
        </w:tc>
      </w:tr>
      <w:tr>
        <w:trPr>
          <w:trHeight w:val="183"/>
        </w:trPr>
        <w:tc>
          <w:tcPr>
            <w:tcW w:w="7800" w:type="dxa"/>
            <w:vAlign w:val="bottom"/>
            <w:tcBorders>
              <w:bottom w:val="single" w:sz="8" w:color="CCEEFF"/>
            </w:tcBorders>
          </w:tcPr>
          <w:p>
            <w:pPr>
              <w:ind w:left="660"/>
              <w:spacing w:after="0"/>
              <w:rPr>
                <w:sz w:val="20"/>
                <w:szCs w:val="20"/>
                <w:color w:val="auto"/>
              </w:rPr>
            </w:pPr>
            <w:r>
              <w:rPr>
                <w:rFonts w:ascii="Arial" w:cs="Arial" w:eastAsia="Arial" w:hAnsi="Arial"/>
                <w:sz w:val="13"/>
                <w:szCs w:val="13"/>
                <w:color w:val="auto"/>
              </w:rPr>
              <w:t>Deferred revenue</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18,913</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6,030</w:t>
            </w:r>
          </w:p>
        </w:tc>
      </w:tr>
      <w:tr>
        <w:trPr>
          <w:trHeight w:val="189"/>
        </w:trPr>
        <w:tc>
          <w:tcPr>
            <w:tcW w:w="7800" w:type="dxa"/>
            <w:vAlign w:val="bottom"/>
            <w:shd w:val="clear" w:color="auto" w:fill="CCEEFF"/>
          </w:tcPr>
          <w:p>
            <w:pPr>
              <w:ind w:left="880"/>
              <w:spacing w:after="0"/>
              <w:rPr>
                <w:sz w:val="20"/>
                <w:szCs w:val="20"/>
                <w:color w:val="auto"/>
              </w:rPr>
            </w:pPr>
            <w:r>
              <w:rPr>
                <w:rFonts w:ascii="Arial" w:cs="Arial" w:eastAsia="Arial" w:hAnsi="Arial"/>
                <w:sz w:val="13"/>
                <w:szCs w:val="13"/>
                <w:color w:val="auto"/>
              </w:rPr>
              <w:t>Net cash used in operating activities</w:t>
            </w:r>
          </w:p>
        </w:tc>
        <w:tc>
          <w:tcPr>
            <w:tcW w:w="9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12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(15,729)</w:t>
            </w:r>
          </w:p>
        </w:tc>
      </w:tr>
      <w:tr>
        <w:trPr>
          <w:trHeight w:val="163"/>
        </w:trPr>
        <w:tc>
          <w:tcPr>
            <w:tcW w:w="7800" w:type="dxa"/>
            <w:vAlign w:val="bottom"/>
          </w:tcPr>
          <w:p>
            <w:pPr>
              <w:ind w:left="20"/>
              <w:spacing w:after="0"/>
              <w:rPr>
                <w:sz w:val="20"/>
                <w:szCs w:val="20"/>
                <w:color w:val="auto"/>
              </w:rPr>
            </w:pPr>
            <w:r>
              <w:rPr>
                <w:rFonts w:ascii="Arial" w:cs="Arial" w:eastAsia="Arial" w:hAnsi="Arial"/>
                <w:sz w:val="13"/>
                <w:szCs w:val="13"/>
                <w:color w:val="auto"/>
              </w:rPr>
              <w:t>CASH FLOWS FROM INVESTING ACTIVITIES: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5"/>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and equipment</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(1,503)</w:t>
            </w:r>
          </w:p>
        </w:tc>
      </w:tr>
      <w:tr>
        <w:trPr>
          <w:trHeight w:val="183"/>
        </w:trPr>
        <w:tc>
          <w:tcPr>
            <w:tcW w:w="7800" w:type="dxa"/>
            <w:vAlign w:val="bottom"/>
          </w:tcPr>
          <w:p>
            <w:pPr>
              <w:ind w:left="20"/>
              <w:spacing w:after="0"/>
              <w:rPr>
                <w:sz w:val="20"/>
                <w:szCs w:val="20"/>
                <w:color w:val="auto"/>
              </w:rPr>
            </w:pPr>
            <w:r>
              <w:rPr>
                <w:rFonts w:ascii="Arial" w:cs="Arial" w:eastAsia="Arial" w:hAnsi="Arial"/>
                <w:sz w:val="13"/>
                <w:szCs w:val="13"/>
                <w:color w:val="auto"/>
              </w:rPr>
              <w:t>Purchases of available-for-sale securities and other</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(37,175)</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(47,788)</w:t>
            </w:r>
          </w:p>
        </w:tc>
      </w:tr>
      <w:tr>
        <w:trPr>
          <w:trHeight w:val="195"/>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maturities of available-for-sale securities and other</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38,469</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44,650</w:t>
            </w:r>
          </w:p>
        </w:tc>
      </w:tr>
      <w:tr>
        <w:trPr>
          <w:trHeight w:val="183"/>
        </w:trPr>
        <w:tc>
          <w:tcPr>
            <w:tcW w:w="7800" w:type="dxa"/>
            <w:vAlign w:val="bottom"/>
          </w:tcPr>
          <w:p>
            <w:pPr>
              <w:ind w:left="20"/>
              <w:spacing w:after="0"/>
              <w:rPr>
                <w:sz w:val="20"/>
                <w:szCs w:val="20"/>
                <w:color w:val="auto"/>
              </w:rPr>
            </w:pPr>
            <w:r>
              <w:rPr>
                <w:rFonts w:ascii="Arial" w:cs="Arial" w:eastAsia="Arial" w:hAnsi="Arial"/>
                <w:sz w:val="13"/>
                <w:szCs w:val="13"/>
                <w:color w:val="auto"/>
              </w:rPr>
              <w:t>Other investing activities</w:t>
            </w:r>
          </w:p>
        </w:tc>
        <w:tc>
          <w:tcPr>
            <w:tcW w:w="9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89"/>
        </w:trPr>
        <w:tc>
          <w:tcPr>
            <w:tcW w:w="7800" w:type="dxa"/>
            <w:vAlign w:val="bottom"/>
            <w:tcBorders>
              <w:top w:val="single" w:sz="8" w:color="CCEEFF"/>
            </w:tcBorders>
            <w:shd w:val="clear" w:color="auto" w:fill="CCEEFF"/>
          </w:tcPr>
          <w:p>
            <w:pPr>
              <w:ind w:left="880"/>
              <w:spacing w:after="0"/>
              <w:rPr>
                <w:sz w:val="20"/>
                <w:szCs w:val="20"/>
                <w:color w:val="auto"/>
              </w:rPr>
            </w:pPr>
            <w:r>
              <w:rPr>
                <w:rFonts w:ascii="Arial" w:cs="Arial" w:eastAsia="Arial" w:hAnsi="Arial"/>
                <w:sz w:val="13"/>
                <w:szCs w:val="13"/>
                <w:color w:val="auto"/>
              </w:rPr>
              <w:t>Net cash provided by (used in) investing activities</w:t>
            </w:r>
          </w:p>
        </w:tc>
        <w:tc>
          <w:tcPr>
            <w:tcW w:w="98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970</w:t>
            </w: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(4,691)</w:t>
            </w:r>
          </w:p>
        </w:tc>
      </w:tr>
      <w:tr>
        <w:trPr>
          <w:trHeight w:val="163"/>
        </w:trPr>
        <w:tc>
          <w:tcPr>
            <w:tcW w:w="7800" w:type="dxa"/>
            <w:vAlign w:val="bottom"/>
          </w:tcPr>
          <w:p>
            <w:pPr>
              <w:ind w:left="20"/>
              <w:spacing w:after="0"/>
              <w:rPr>
                <w:sz w:val="20"/>
                <w:szCs w:val="20"/>
                <w:color w:val="auto"/>
              </w:rPr>
            </w:pPr>
            <w:r>
              <w:rPr>
                <w:rFonts w:ascii="Arial" w:cs="Arial" w:eastAsia="Arial" w:hAnsi="Arial"/>
                <w:sz w:val="13"/>
                <w:szCs w:val="13"/>
                <w:color w:val="auto"/>
              </w:rPr>
              <w:t>CASH FLOWS FROM FINANCING ACTIVITIES: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5"/>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of contingent consideration for business combination</w:t>
            </w:r>
          </w:p>
        </w:tc>
        <w:tc>
          <w:tcPr>
            <w:tcW w:w="9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(1,592)</w:t>
            </w:r>
          </w:p>
        </w:tc>
      </w:tr>
      <w:tr>
        <w:trPr>
          <w:trHeight w:val="183"/>
        </w:trPr>
        <w:tc>
          <w:tcPr>
            <w:tcW w:w="7800" w:type="dxa"/>
            <w:vAlign w:val="bottom"/>
          </w:tcPr>
          <w:p>
            <w:pPr>
              <w:ind w:left="20"/>
              <w:spacing w:after="0"/>
              <w:rPr>
                <w:sz w:val="20"/>
                <w:szCs w:val="20"/>
                <w:color w:val="auto"/>
              </w:rPr>
            </w:pPr>
            <w:r>
              <w:rPr>
                <w:rFonts w:ascii="Arial" w:cs="Arial" w:eastAsia="Arial" w:hAnsi="Arial"/>
                <w:sz w:val="13"/>
                <w:szCs w:val="13"/>
                <w:color w:val="auto"/>
              </w:rPr>
              <w:t>Principal payments under vendor financing arrangements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(1,749)</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(1,289)</w:t>
            </w:r>
          </w:p>
        </w:tc>
      </w:tr>
      <w:tr>
        <w:trPr>
          <w:trHeight w:val="195"/>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to tax authorities for shares withheld from employees</w:t>
            </w:r>
          </w:p>
        </w:tc>
        <w:tc>
          <w:tcPr>
            <w:tcW w:w="9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w:t>
            </w:r>
          </w:p>
        </w:tc>
      </w:tr>
      <w:tr>
        <w:trPr>
          <w:trHeight w:val="183"/>
        </w:trPr>
        <w:tc>
          <w:tcPr>
            <w:tcW w:w="7800" w:type="dxa"/>
            <w:vAlign w:val="bottom"/>
          </w:tcPr>
          <w:p>
            <w:pPr>
              <w:ind w:left="20"/>
              <w:spacing w:after="0"/>
              <w:rPr>
                <w:sz w:val="20"/>
                <w:szCs w:val="20"/>
                <w:color w:val="auto"/>
              </w:rPr>
            </w:pPr>
            <w:r>
              <w:rPr>
                <w:rFonts w:ascii="Arial" w:cs="Arial" w:eastAsia="Arial" w:hAnsi="Arial"/>
                <w:sz w:val="13"/>
                <w:szCs w:val="13"/>
                <w:color w:val="auto"/>
              </w:rPr>
              <w:t>Proceeds from exercise of stock options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890</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490</w:t>
            </w:r>
          </w:p>
        </w:tc>
      </w:tr>
      <w:tr>
        <w:trPr>
          <w:trHeight w:val="195"/>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employee stock purchase plan</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financing activities</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w:t>
            </w:r>
          </w:p>
        </w:tc>
      </w:tr>
      <w:tr>
        <w:trPr>
          <w:trHeight w:val="189"/>
        </w:trPr>
        <w:tc>
          <w:tcPr>
            <w:tcW w:w="7800" w:type="dxa"/>
            <w:vAlign w:val="bottom"/>
            <w:shd w:val="clear" w:color="auto" w:fill="CCEEFF"/>
          </w:tcPr>
          <w:p>
            <w:pPr>
              <w:ind w:left="880"/>
              <w:spacing w:after="0"/>
              <w:rPr>
                <w:sz w:val="20"/>
                <w:szCs w:val="20"/>
                <w:color w:val="auto"/>
              </w:rPr>
            </w:pPr>
            <w:r>
              <w:rPr>
                <w:rFonts w:ascii="Arial" w:cs="Arial" w:eastAsia="Arial" w:hAnsi="Arial"/>
                <w:sz w:val="13"/>
                <w:szCs w:val="13"/>
                <w:color w:val="auto"/>
              </w:rPr>
              <w:t>Net cash used in financing activities</w:t>
            </w:r>
          </w:p>
        </w:tc>
        <w:tc>
          <w:tcPr>
            <w:tcW w:w="9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12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(2,919)</w:t>
            </w:r>
          </w:p>
        </w:tc>
      </w:tr>
      <w:tr>
        <w:trPr>
          <w:trHeight w:val="176"/>
        </w:trPr>
        <w:tc>
          <w:tcPr>
            <w:tcW w:w="7800" w:type="dxa"/>
            <w:vAlign w:val="bottom"/>
          </w:tcPr>
          <w:p>
            <w:pPr>
              <w:ind w:left="20"/>
              <w:spacing w:after="0"/>
              <w:rPr>
                <w:sz w:val="20"/>
                <w:szCs w:val="20"/>
                <w:color w:val="auto"/>
              </w:rPr>
            </w:pPr>
            <w:r>
              <w:rPr>
                <w:rFonts w:ascii="Arial" w:cs="Arial" w:eastAsia="Arial" w:hAnsi="Arial"/>
                <w:sz w:val="13"/>
                <w:szCs w:val="13"/>
                <w:color w:val="auto"/>
              </w:rPr>
              <w:t>NET DECREASE IN CASH, CASH EQUIVALENTS AND RESTRICTED CASH</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(23,339)</w:t>
            </w:r>
          </w:p>
        </w:tc>
      </w:tr>
      <w:tr>
        <w:trPr>
          <w:trHeight w:val="189"/>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9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14,084</w:t>
            </w:r>
          </w:p>
        </w:tc>
        <w:tc>
          <w:tcPr>
            <w:tcW w:w="12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37,423</w:t>
            </w:r>
          </w:p>
        </w:tc>
      </w:tr>
      <w:tr>
        <w:trPr>
          <w:trHeight w:val="188"/>
        </w:trPr>
        <w:tc>
          <w:tcPr>
            <w:tcW w:w="780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end of period</w:t>
            </w:r>
          </w:p>
        </w:tc>
        <w:tc>
          <w:tcPr>
            <w:tcW w:w="980" w:type="dxa"/>
            <w:vAlign w:val="bottom"/>
            <w:tcBorders>
              <w:bottom w:val="single" w:sz="8" w:color="auto"/>
            </w:tcBorders>
          </w:tcPr>
          <w:p>
            <w:pPr>
              <w:jc w:val="right"/>
              <w:ind w:right="833"/>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14,072</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ind w:right="813"/>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14,084</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183"/>
        </w:trPr>
        <w:tc>
          <w:tcPr>
            <w:tcW w:w="780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at end of period:</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95"/>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980" w:type="dxa"/>
            <w:vAlign w:val="bottom"/>
            <w:shd w:val="clear" w:color="auto" w:fill="CCEEFF"/>
          </w:tcPr>
          <w:p>
            <w:pPr>
              <w:jc w:val="right"/>
              <w:ind w:right="833"/>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13,684</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3"/>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13,696</w:t>
            </w:r>
          </w:p>
        </w:tc>
      </w:tr>
      <w:tr>
        <w:trPr>
          <w:trHeight w:val="183"/>
        </w:trPr>
        <w:tc>
          <w:tcPr>
            <w:tcW w:w="7800" w:type="dxa"/>
            <w:vAlign w:val="bottom"/>
          </w:tcPr>
          <w:p>
            <w:pPr>
              <w:ind w:left="20"/>
              <w:spacing w:after="0"/>
              <w:rPr>
                <w:sz w:val="20"/>
                <w:szCs w:val="20"/>
                <w:color w:val="auto"/>
              </w:rPr>
            </w:pPr>
            <w:r>
              <w:rPr>
                <w:rFonts w:ascii="Arial" w:cs="Arial" w:eastAsia="Arial" w:hAnsi="Arial"/>
                <w:sz w:val="13"/>
                <w:szCs w:val="13"/>
                <w:color w:val="auto"/>
              </w:rPr>
              <w:t>Restricted cash, current</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noncurrent</w:t>
            </w:r>
          </w:p>
        </w:tc>
        <w:tc>
          <w:tcPr>
            <w:tcW w:w="9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2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w:t>
            </w:r>
          </w:p>
        </w:tc>
      </w:tr>
      <w:tr>
        <w:trPr>
          <w:trHeight w:val="188"/>
        </w:trPr>
        <w:tc>
          <w:tcPr>
            <w:tcW w:w="780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at end of period</w:t>
            </w:r>
          </w:p>
        </w:tc>
        <w:tc>
          <w:tcPr>
            <w:tcW w:w="980" w:type="dxa"/>
            <w:vAlign w:val="bottom"/>
            <w:tcBorders>
              <w:bottom w:val="single" w:sz="8" w:color="auto"/>
            </w:tcBorders>
          </w:tcPr>
          <w:p>
            <w:pPr>
              <w:jc w:val="right"/>
              <w:ind w:right="833"/>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14,072</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ind w:right="813"/>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14,084</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183"/>
        </w:trPr>
        <w:tc>
          <w:tcPr>
            <w:tcW w:w="7800" w:type="dxa"/>
            <w:vAlign w:val="bottom"/>
          </w:tcPr>
          <w:p>
            <w:pPr>
              <w:ind w:left="20"/>
              <w:spacing w:after="0"/>
              <w:rPr>
                <w:sz w:val="20"/>
                <w:szCs w:val="20"/>
                <w:color w:val="auto"/>
              </w:rPr>
            </w:pPr>
            <w:r>
              <w:rPr>
                <w:rFonts w:ascii="Arial" w:cs="Arial" w:eastAsia="Arial" w:hAnsi="Arial"/>
                <w:sz w:val="13"/>
                <w:szCs w:val="13"/>
                <w:color w:val="auto"/>
              </w:rPr>
              <w:t>Supplemental cash flow information:</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95"/>
        </w:trPr>
        <w:tc>
          <w:tcPr>
            <w:tcW w:w="7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paid for taxes</w:t>
            </w:r>
          </w:p>
        </w:tc>
        <w:tc>
          <w:tcPr>
            <w:tcW w:w="980" w:type="dxa"/>
            <w:vAlign w:val="bottom"/>
            <w:shd w:val="clear" w:color="auto" w:fill="CCEEFF"/>
          </w:tcPr>
          <w:p>
            <w:pPr>
              <w:jc w:val="right"/>
              <w:ind w:right="833"/>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1,552</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3"/>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1,294</w:t>
            </w:r>
          </w:p>
        </w:tc>
      </w:tr>
      <w:tr>
        <w:trPr>
          <w:trHeight w:val="183"/>
        </w:trPr>
        <w:tc>
          <w:tcPr>
            <w:tcW w:w="7800" w:type="dxa"/>
            <w:vAlign w:val="bottom"/>
          </w:tcPr>
          <w:p>
            <w:pPr>
              <w:ind w:left="20"/>
              <w:spacing w:after="0"/>
              <w:rPr>
                <w:sz w:val="20"/>
                <w:szCs w:val="20"/>
                <w:color w:val="auto"/>
              </w:rPr>
            </w:pPr>
            <w:r>
              <w:rPr>
                <w:rFonts w:ascii="Arial" w:cs="Arial" w:eastAsia="Arial" w:hAnsi="Arial"/>
                <w:sz w:val="13"/>
                <w:szCs w:val="13"/>
                <w:color w:val="auto"/>
              </w:rPr>
              <w:t>Noncash activities:</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95"/>
        </w:trPr>
        <w:tc>
          <w:tcPr>
            <w:tcW w:w="7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Operating lease right-of-use assets exchanged for lease liabilities</w:t>
            </w:r>
          </w:p>
        </w:tc>
        <w:tc>
          <w:tcPr>
            <w:tcW w:w="980" w:type="dxa"/>
            <w:vAlign w:val="bottom"/>
            <w:shd w:val="clear" w:color="auto" w:fill="CCEEFF"/>
          </w:tcPr>
          <w:p>
            <w:pPr>
              <w:jc w:val="right"/>
              <w:ind w:right="833"/>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3"/>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3,392</w:t>
            </w:r>
          </w:p>
        </w:tc>
      </w:tr>
      <w:tr>
        <w:trPr>
          <w:trHeight w:val="177"/>
        </w:trPr>
        <w:tc>
          <w:tcPr>
            <w:tcW w:w="7800" w:type="dxa"/>
            <w:vAlign w:val="bottom"/>
          </w:tcPr>
          <w:p>
            <w:pPr>
              <w:ind w:left="120"/>
              <w:spacing w:after="0"/>
              <w:rPr>
                <w:sz w:val="20"/>
                <w:szCs w:val="20"/>
                <w:color w:val="auto"/>
              </w:rPr>
            </w:pPr>
            <w:r>
              <w:rPr>
                <w:rFonts w:ascii="Arial" w:cs="Arial" w:eastAsia="Arial" w:hAnsi="Arial"/>
                <w:sz w:val="13"/>
                <w:szCs w:val="13"/>
                <w:color w:val="auto"/>
              </w:rPr>
              <w:t>Purchase of property and equipment through vendor financing</w:t>
            </w:r>
          </w:p>
        </w:tc>
        <w:tc>
          <w:tcPr>
            <w:tcW w:w="980" w:type="dxa"/>
            <w:vAlign w:val="bottom"/>
          </w:tcPr>
          <w:p>
            <w:pPr>
              <w:jc w:val="right"/>
              <w:ind w:right="833"/>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546</w:t>
            </w:r>
          </w:p>
        </w:tc>
        <w:tc>
          <w:tcPr>
            <w:tcW w:w="120" w:type="dxa"/>
            <w:vAlign w:val="bottom"/>
          </w:tcPr>
          <w:p>
            <w:pPr>
              <w:spacing w:after="0"/>
              <w:rPr>
                <w:sz w:val="15"/>
                <w:szCs w:val="15"/>
                <w:color w:val="auto"/>
              </w:rPr>
            </w:pPr>
          </w:p>
        </w:tc>
        <w:tc>
          <w:tcPr>
            <w:tcW w:w="980" w:type="dxa"/>
            <w:vAlign w:val="bottom"/>
          </w:tcPr>
          <w:p>
            <w:pPr>
              <w:jc w:val="right"/>
              <w:ind w:right="813"/>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3,319</w:t>
            </w:r>
          </w:p>
        </w:tc>
      </w:tr>
    </w:tbl>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notes to consolidated financial statements.</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Arteris,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Arteris, Inc. was incorporated in Delaware on April 12, 2004. Arteris, Inc. and its subsidiaries (collectively, the Company or Arteris) develop, license, and support the on-chip interconnect fabric technology used in System-on-Chip (SoC) designs for a variety of devices and in the development and distribution of Networks-on-Chip (NoC) interconnect intellectual property (IP). The Company also provides software and services to enable efficient deployment of NoC IP, IP support &amp; maintenance services, professional services and training and on-site support services. The Company is headquartered in Campbell, California and has offices in the United States, France, Poland, Japan, South Korea, Taiwan and China.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69"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(GAAP).</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consolidated financial statements include the accounts of Arteris, Inc. and its wholly owned subsidiaries. All intercompany transactions and accounts have been eliminated in consolidation.</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operates as a single operating segment. The chief operating decision maker is the Company’s Chief Executive Officer, who makes resource allocation decisions and assesses performance based on financial information presented on a consolidated basis, accompanied by disaggregated revenue information. Accordingly, the Company has determined that it has a single reportable segment and operating segment.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preparation of the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reporting period. Such estimates relate to, among others, revenue recognition, the useful lives of assets, assessment of recoverability of property, plant and equipment, fair value of investments, impairment of the equity method investment, fair values of goodwill and other intangible assets, including impairments, leases, allowance for credit losses, deferred tax assets and related valuation allowance, stock-based compensation, potential reserves relating to litigation and tax matters, collectability of certain receivables, fair value and amortization of deferred income, as well as other accruals or reserves. Actual results could differ from those estimates and such differences may be material to the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and its foreign subsidiaries’ functional currency is the US dollar. Accordingly, monetary assets and liabilities of foreign subsidiaries are remeasured into US dollars at the exchange rates in effect at the balance sheet date, non-monetary assets and liabilities are recorded at historical rates, and revenue and expenses are remeasured at average rates during the period. Remeasurement adjustments are recognized as a component of other income (expense), net within the consolidated statements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Comprehensive loss generally represents all changes in stockholders’ equity during the period except those resulting from investments by, or distributions to, stockholders. For the years ended December 31, 2024, and 2023, the components of comprehensive loss consist of net loss, unrealized pension actuarial gain (loss) and unrealized gains (losses) on available-for-sale securities, net of tax.</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Basic net loss per share is computed by dividing net loss available to common stockholders by the weighted-average number of shares of common stock outstanding during the period, without consideration of potentially dilutive securities. Diluted net loss per share is computed by dividing net loss by the weighted-average number of shares of common stock during the period, plus the dilutive effects of stock options and restricted stock units (RSU). Dilutive shares of common stock are determined by applying the treasury stock method.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considers all highly liquid investments purchased with original maturities of three months or less from the purchase date to be cash equivalents. The Company’s cash equivalents include deposits in money market accounts which were unrestricted as to withdrawal or use and are stated at fair value. The Company’s cash equivalents include certificates of deposit from time to time. As of December 31, 2024, cash and cash equivalents consisted primarily of checking, savings, money market accounts, and highly liquid investments with original maturities of three months or less. Interest earned on cash and cash equivalents is included in other income (expense), net in the consolidated statements of operations.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both December 31, 2024, and 2023, the Company’s restricted cash balance was $0.4 million, primarily related to a letter of credit for its facility lease agreement. Restricted cash, current is included in prepaid expenses and other current assets and restricted cash, noncurrent is included in other assets on the consolidated balance sheets.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and Allowance for Credit Losses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Accounts receivable, net consists of primarily billed and unbilled trade accounts receivable. Unbilled accounts receivable represents amounts recorded as royalty revenue which will be invoiced within a short period upon receipt of the royalty reports from the licensees. The Company records accounts receivable when it has an unconditional right to consideration. Trade accounts receivable are recorded at the invoiced amount. The Company maintains allowances for credit losses to reduce its receivables to their estimated net realizable value. In general, the Company does not offer extended credit terms and also does not require any security or collateral to support its receivables. The Company performs ongoing credit evaluations of its customers and establishes allowances for potential credit losses by considering factors such as historical experience, credit quality, age of the accounts receivable balances, and current economic conditions that may affect a customer’s ability to pay. The Company’s allowance for credit losses activity has historically not been significant. Probable losses are recorded in general and administrative expense in the consolidated statements of operations.</w:t>
      </w:r>
    </w:p>
    <w:p>
      <w:pPr>
        <w:spacing w:after="0" w:line="14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Account balances are written off against the allowance after all means of collection have been exhausted and the potential for recovery is considered remote.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Financial instruments that potentially subject us to concentration of credit risk consist of cash and cash equivalents, investments and accounts receivable. Cash is currently held in three financial institutions that the Company believes are creditworthy. Cash held at these financial institutions generally exceed federally insured limits. The Company is exposed to credit risk in the event of default by the financial institution holding its cash, cash equivalents, and investments to the extent recorded in the balance sheet. The Company has not experienced any losses to date related to these concentrations.</w:t>
      </w:r>
    </w:p>
    <w:p>
      <w:pPr>
        <w:spacing w:after="0" w:line="12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Company’s accounts receivable are derived principally from revenue earned from customers located in the Americas, Europe, Middle East and Asia Pacific regions.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from the Company’s major customers representing 10% or more of total accounts receivable was as follows: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Customer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Customer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Customer C</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Customer D</w:t>
      </w:r>
    </w:p>
    <w:p>
      <w:pPr>
        <w:spacing w:after="0" w:line="128" w:lineRule="exact"/>
        <w:rPr>
          <w:sz w:val="20"/>
          <w:szCs w:val="20"/>
          <w:color w:val="auto"/>
        </w:rPr>
      </w:pPr>
    </w:p>
    <w:p>
      <w:pPr>
        <w:ind w:left="540" w:hanging="208"/>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Customer accounted for less than 10% of total accounts receivable at period end.</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32385</wp:posOffset>
            </wp:positionV>
            <wp:extent cx="20916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62"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69" w:lineRule="exact"/>
        <w:rPr>
          <w:sz w:val="20"/>
          <w:szCs w:val="20"/>
          <w:color w:val="auto"/>
        </w:rPr>
      </w:pPr>
    </w:p>
    <w:p>
      <w:pPr>
        <w:jc w:val="right"/>
        <w:ind w:right="20"/>
        <w:spacing w:after="0"/>
        <w:tabs>
          <w:tab w:leader="none" w:pos="40" w:val="left"/>
        </w:tabs>
        <w:rPr>
          <w:sz w:val="20"/>
          <w:szCs w:val="20"/>
          <w:color w:val="auto"/>
        </w:rPr>
      </w:pPr>
      <w:r>
        <w:rPr>
          <w:rFonts w:ascii="Arial" w:cs="Arial" w:eastAsia="Arial" w:hAnsi="Arial"/>
          <w:sz w:val="17"/>
          <w:szCs w:val="17"/>
          <w:color w:val="auto"/>
        </w:rPr>
        <w:t>22 %</w:t>
      </w:r>
      <w:r>
        <w:rPr>
          <w:sz w:val="20"/>
          <w:szCs w:val="20"/>
          <w:color w:val="auto"/>
        </w:rPr>
        <w:tab/>
      </w:r>
      <w:r>
        <w:rPr>
          <w:rFonts w:ascii="Arial" w:cs="Arial" w:eastAsia="Arial" w:hAnsi="Arial"/>
          <w:sz w:val="15"/>
          <w:szCs w:val="15"/>
          <w:color w:val="auto"/>
        </w:rPr>
        <w:t>*</w:t>
      </w:r>
    </w:p>
    <w:p>
      <w:pPr>
        <w:spacing w:after="0" w:line="61" w:lineRule="exact"/>
        <w:rPr>
          <w:sz w:val="20"/>
          <w:szCs w:val="20"/>
          <w:color w:val="auto"/>
        </w:rPr>
      </w:pPr>
    </w:p>
    <w:p>
      <w:pPr>
        <w:jc w:val="right"/>
        <w:ind w:right="20"/>
        <w:spacing w:after="0"/>
        <w:tabs>
          <w:tab w:leader="none" w:pos="40" w:val="left"/>
        </w:tabs>
        <w:rPr>
          <w:sz w:val="20"/>
          <w:szCs w:val="20"/>
          <w:color w:val="auto"/>
        </w:rPr>
      </w:pPr>
      <w:r>
        <w:rPr>
          <w:rFonts w:ascii="Arial" w:cs="Arial" w:eastAsia="Arial" w:hAnsi="Arial"/>
          <w:sz w:val="17"/>
          <w:szCs w:val="17"/>
          <w:color w:val="auto"/>
        </w:rPr>
        <w:t>19 %</w:t>
      </w:r>
      <w:r>
        <w:rPr>
          <w:sz w:val="20"/>
          <w:szCs w:val="20"/>
          <w:color w:val="auto"/>
        </w:rPr>
        <w:tab/>
      </w:r>
      <w:r>
        <w:rPr>
          <w:rFonts w:ascii="Arial" w:cs="Arial" w:eastAsia="Arial" w:hAnsi="Arial"/>
          <w:sz w:val="15"/>
          <w:szCs w:val="15"/>
          <w:color w:val="auto"/>
        </w:rPr>
        <w:t>*</w:t>
      </w:r>
    </w:p>
    <w:p>
      <w:pPr>
        <w:spacing w:after="0" w:line="61" w:lineRule="exact"/>
        <w:rPr>
          <w:sz w:val="20"/>
          <w:szCs w:val="20"/>
          <w:color w:val="auto"/>
        </w:rPr>
      </w:pPr>
    </w:p>
    <w:p>
      <w:pPr>
        <w:jc w:val="right"/>
        <w:ind w:right="20"/>
        <w:spacing w:after="0"/>
        <w:tabs>
          <w:tab w:leader="none" w:pos="380" w:val="left"/>
        </w:tabs>
        <w:rPr>
          <w:sz w:val="20"/>
          <w:szCs w:val="20"/>
          <w:color w:val="auto"/>
        </w:rPr>
      </w:pPr>
      <w:r>
        <w:rPr>
          <w:rFonts w:ascii="Arial" w:cs="Arial" w:eastAsia="Arial" w:hAnsi="Arial"/>
          <w:sz w:val="17"/>
          <w:szCs w:val="17"/>
          <w:color w:val="auto"/>
        </w:rPr>
        <w:t>14 %</w:t>
      </w:r>
      <w:r>
        <w:rPr>
          <w:sz w:val="20"/>
          <w:szCs w:val="20"/>
          <w:color w:val="auto"/>
        </w:rPr>
        <w:tab/>
      </w:r>
      <w:r>
        <w:rPr>
          <w:rFonts w:ascii="Arial" w:cs="Arial" w:eastAsia="Arial" w:hAnsi="Arial"/>
          <w:sz w:val="17"/>
          <w:szCs w:val="17"/>
          <w:color w:val="auto"/>
        </w:rPr>
        <w:t>15 %</w:t>
      </w:r>
    </w:p>
    <w:p>
      <w:pPr>
        <w:spacing w:after="0" w:line="61" w:lineRule="exact"/>
        <w:rPr>
          <w:sz w:val="20"/>
          <w:szCs w:val="20"/>
          <w:color w:val="auto"/>
        </w:rPr>
      </w:pPr>
    </w:p>
    <w:p>
      <w:pPr>
        <w:ind w:left="2240" w:hanging="1365"/>
        <w:spacing w:after="0"/>
        <w:tabs>
          <w:tab w:leader="none" w:pos="2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26 %</w:t>
      </w:r>
    </w:p>
    <w:p>
      <w:pPr>
        <w:spacing w:after="0" w:line="475" w:lineRule="exact"/>
        <w:rPr>
          <w:sz w:val="20"/>
          <w:szCs w:val="20"/>
          <w:color w:val="auto"/>
        </w:rPr>
      </w:pPr>
    </w:p>
    <w:p>
      <w:pPr>
        <w:sectPr>
          <w:pgSz w:w="11900" w:h="16838" w:orient="portrait"/>
          <w:cols w:equalWidth="0" w:num="2">
            <w:col w:w="7860" w:space="720"/>
            <w:col w:w="2660"/>
          </w:cols>
          <w:pgMar w:left="320" w:top="117" w:right="33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Revenue from the Company’s major customers representing 10% or more of total revenue was as follows:</w:t>
      </w:r>
    </w:p>
    <w:p>
      <w:pPr>
        <w:spacing w:after="0" w:line="236"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32385</wp:posOffset>
            </wp:positionV>
            <wp:extent cx="2091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2024</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right"/>
              <w:ind w:right="561"/>
              <w:spacing w:after="0"/>
              <w:rPr>
                <w:sz w:val="20"/>
                <w:szCs w:val="20"/>
                <w:color w:val="auto"/>
              </w:rPr>
            </w:pPr>
            <w:r>
              <w:rPr>
                <w:rFonts w:ascii="Arial" w:cs="Arial" w:eastAsia="Arial" w:hAnsi="Arial"/>
                <w:sz w:val="14"/>
                <w:szCs w:val="14"/>
                <w:b w:val="1"/>
                <w:bCs w:val="1"/>
                <w:color w:val="auto"/>
              </w:rPr>
              <w:t>2023</w:t>
            </w:r>
          </w:p>
        </w:tc>
      </w:tr>
      <w:tr>
        <w:trPr>
          <w:trHeight w:val="243"/>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Customer C</w:t>
            </w:r>
          </w:p>
        </w:tc>
        <w:tc>
          <w:tcPr>
            <w:tcW w:w="108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Property and equipment are stated at cost, less accumulated depreciation. Depreciation is recorded using the straight-line method over the estimated useful lives, generally ranging from one to ten years. Leasehold improvements are amortized over the shorter of the estimated useful life of the asset or the remaining lease term.</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Depreciation expenses are recorded in cost of revenue and operating expenses in the consolidated statements of operations. Upon retirement or sale, the cost of assets disposed of, and the related accumulated depreciation are removed from the accounts and any resulting gain or loss is recorded as a component of operating expenses. Repairs and maintenance costs are expensed as incurred.</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evaluates the recoverability of property and equipment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comparing their carrying amounts to the future undiscounted cash flows the assets are expected to generate. If such review indicates that the carrying amount is not recoverable, the carrying amount of such assets is reduced to fair value. No impairment was recognized during the years ended December 31, 2024, and 2023.</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tests its goodwill and other indefinite-lived intangible assets for impairment during the last day of the third fiscal quarter each year or more frequently if events or changes in circumstances occur that would more likely than not reduce the fair value below its carrying value. For the years ended December 31, 2024, and 2023, the Company did not have any goodwill or other indefinite-lived intangible assets impairment.</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Acquired finite-lived intangible assets are amortized on a straight-line basis over the estimated useful lives of the assets, which range from five to eight years, unless the lives are determined to be indefinite. The Company routinely reviews the remaining estimated useful lives of finite-lived intangible assets. Amortization expenses are recorded in operating expenses on the consolidated statements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Right-of-use Assets (ROU) and Lease Liabilities</w:t>
      </w:r>
    </w:p>
    <w:p>
      <w:pPr>
        <w:spacing w:after="0" w:line="18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recognizes leases in accordance with Accounting Standard Codification (ASC) Topic 842, Leases, and subsequently issued additional related Accounting Standard Updates (ASU) (Topic 842).</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leases its offices at various locations under noncancelable operating lease agreements expiring at various dates through 2032. Under the terms of these agreements, the Company also bears the costs for certain insurance, property tax, and maintenance. The terms of certain lease agreements provide for increasing rental payments at fixed intervals.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At lease commencement, the Company measures and records a lease liability equal to the present value of the remaining lease payments, generally discounted using incremental borrowing rate as the implicit rate is not readily determinable on many of its leases. When determining the incremental borrowing rates, the Company considers information including, but not limited to, the lease term, the interest rates on its collateralized debt and incremental borrowing rates for its peer group.</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On the lease commencement date, the amount of the ROU assets consists of the following:</w:t>
      </w:r>
    </w:p>
    <w:p>
      <w:pPr>
        <w:spacing w:after="0" w:line="169" w:lineRule="exact"/>
        <w:rPr>
          <w:sz w:val="20"/>
          <w:szCs w:val="20"/>
          <w:color w:val="auto"/>
        </w:rPr>
      </w:pPr>
    </w:p>
    <w:p>
      <w:pPr>
        <w:ind w:left="820" w:hanging="326"/>
        <w:spacing w:after="0"/>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amount of the initial measurement of the lease liability;</w:t>
      </w:r>
    </w:p>
    <w:p>
      <w:pPr>
        <w:spacing w:after="0" w:line="74" w:lineRule="exact"/>
        <w:rPr>
          <w:rFonts w:ascii="Arial" w:cs="Arial" w:eastAsia="Arial" w:hAnsi="Arial"/>
          <w:sz w:val="17"/>
          <w:szCs w:val="17"/>
          <w:color w:val="auto"/>
        </w:rPr>
      </w:pPr>
    </w:p>
    <w:p>
      <w:pPr>
        <w:ind w:left="820" w:hanging="326"/>
        <w:spacing w:after="0"/>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lease payments made at or before the commencement date, minus any lease incentives received; and</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initial direct costs incurred.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assesses the option for lease extensions, renewals, or terminations on individual leases, and generally considers the base term to be the term of lease contracts, unless it is reasonably certain that the Company will exercise such options. Lease agreements may contain other variable costs such as common area maintenance, insurance, real estate taxes or other costs. Variable lease costs are expensed as incurred in the consolidated statements of operations. The Company does not include non-lease components with lease payments for the purpose of calculating lease right-of-use assets and lease liabilities. The lease agreements generally do not contain any residual guarantees or restrictive covenants.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Operating leases are included in operating lease ROU assets, operating lease liabilities, current and operating lease liabilities, noncurrent in the consolidated balance sheets. Finance leases are included in property and equipment, accrued expenses and other current liabilities and other liabilities in the consolidated balance sheets.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The Company recognizes revenue in accordance with ASC Topic </w:t>
      </w:r>
      <w:r>
        <w:rPr>
          <w:rFonts w:ascii="Arial" w:cs="Arial" w:eastAsia="Arial" w:hAnsi="Arial"/>
          <w:sz w:val="17"/>
          <w:szCs w:val="17"/>
          <w:i w:val="1"/>
          <w:iCs w:val="1"/>
          <w:color w:val="auto"/>
        </w:rPr>
        <w:t>606, Revenue from Contracts with Customers,</w:t>
      </w:r>
      <w:r>
        <w:rPr>
          <w:rFonts w:ascii="Arial" w:cs="Arial" w:eastAsia="Arial" w:hAnsi="Arial"/>
          <w:sz w:val="17"/>
          <w:szCs w:val="17"/>
          <w:color w:val="auto"/>
        </w:rPr>
        <w:t xml:space="preserve"> and subsequently issued additional related </w:t>
      </w:r>
      <w:r>
        <w:rPr>
          <w:rFonts w:ascii="Arial" w:cs="Arial" w:eastAsia="Arial" w:hAnsi="Arial"/>
          <w:sz w:val="17"/>
          <w:szCs w:val="17"/>
          <w:i w:val="1"/>
          <w:iCs w:val="1"/>
          <w:color w:val="auto"/>
        </w:rPr>
        <w:t>ASUs (Topic 606).</w:t>
      </w:r>
      <w:r>
        <w:rPr>
          <w:rFonts w:ascii="Arial" w:cs="Arial" w:eastAsia="Arial" w:hAnsi="Arial"/>
          <w:sz w:val="17"/>
          <w:szCs w:val="17"/>
          <w:color w:val="auto"/>
        </w:rPr>
        <w:t xml:space="preserve"> The Company recognizes revenues as it transfers control of deliverables (software and services) to its customers in an amount reflecting the consideration to which it expects to be entitled. To recognize revenues, the Company applies the following five step approach:</w:t>
      </w:r>
    </w:p>
    <w:p>
      <w:pPr>
        <w:jc w:val="both"/>
        <w:ind w:firstLine="8"/>
        <w:spacing w:after="0" w:line="256" w:lineRule="auto"/>
        <w:tabs>
          <w:tab w:leader="none" w:pos="264" w:val="left"/>
        </w:tabs>
        <w:numPr>
          <w:ilvl w:val="0"/>
          <w:numId w:val="36"/>
        </w:numPr>
        <w:rPr>
          <w:rFonts w:ascii="Arial" w:cs="Arial" w:eastAsia="Arial" w:hAnsi="Arial"/>
          <w:sz w:val="17"/>
          <w:szCs w:val="17"/>
          <w:color w:val="auto"/>
        </w:rPr>
      </w:pPr>
      <w:r>
        <w:rPr>
          <w:rFonts w:ascii="Arial" w:cs="Arial" w:eastAsia="Arial" w:hAnsi="Arial"/>
          <w:sz w:val="17"/>
          <w:szCs w:val="17"/>
          <w:color w:val="auto"/>
        </w:rPr>
        <w:t>identify the contract with a customer, (2) identify the performance obligations in the contract, (3) determine the transaction price, (4) allocate the transaction price to the performance obligations in the contract, and (5) recognize revenues when a performance obligation is satisfied. The Company accounts for a contract when it has approval and commitment from all parties, the rights of the parties are identified, payment terms are identified, the contract has commercial substance and collectability of consideration is probable. The Company applies judgment in determining the customer’s ability and intention to pay based on a variety of factors including the customer’s historical payment experience.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Nature of Products and Services</w:t>
      </w:r>
    </w:p>
    <w:p>
      <w:pPr>
        <w:spacing w:after="0" w:line="169"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Company’s revenue is primarily derived from licensing intellectual property, licensing software, support and maintenance services, professional services, training services, and royalties.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Design Solutions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Interconnect Solutions product arrangements provide customers the right to software licenses, services, and support and maintenance. The Company enters into licensing arrangements with customers that typically range from two to three years and generally consist of delivery of a design license that grants the customer the right to use the IP to design a contractually defined number of products, a right to access the benefits of its proprietary software tool (RTL), and support and maintenance services that provide the customer a significant benefit from ongoing access to Corporate Application Engineers (CAE) and Field Application Engineers (FAE) (collectively, Application Engineer Support Services) to perform certain verifications including benchmark performance, simulations and ultimately, through the RTL, instantiate designs into silicon over the design term.</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Application Engineer Support Services are integral and fundamental to the customer’s ability to derive its intended benefit from the IP. Besides Application Engineer Support Services, support and maintenance services also consist of a stand-ready obligation to provide technical support and software updates over the support term. Generally, the first year of technical support and software updates are bundled with and into the license fee with a customer option to renew additional years of support throughout the license term. However, the Company continues to provide technical support and software updates throughout the license term even if the customer does not renew these services in subsequent years, making the license term and support and maintenance term co-terminus.</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Considering the nature of the combined license and assisting the Company’s customers in applying its IP technology in its customers’ development environment and the relative significance thereof, the Company has concluded that its promise to provide an Interconnect Solutions IP license is not distinct from its obligation to provide the Application Engineer Support Services and benefits of the RTL. Customers cannot benefit from the design license on its own; the Interconnect Solutions IP, RTL, and the Application Engineering Support Services serve to fulfill its commitment to the customer, as they represent inputs to a single, combined performance obligation that commences upon the later of the arrangement effective date or transfer of the software license. Further, although technical support and software updates is a distinct performance obligation, it is accounted for as if it were part of a single performance obligation that includes the licenses, RTL and Application Engineer Support Services because the technical support and updates are provided in practice for the same period of time and have the same time-based pattern of transfer to the customer as the combined design license, RTL, and Application Engineer Support Services. Therefore, revenue from Interconnect Solutions IP licensing arrangements is recognized ratably over the design term.</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Revenues that are derived from the sale of a licensee’s products that incorporate the Company’s IP are classified as royalty revenues. Royalty revenues are recognized during the quarter in which the sale of the product incorporating the Company’s IP occurs and are included in variable royalties and other in the consolidated statements of operations. Royalties are calculated either as a percentage of the revenues received by a licensee’s sale of products incorporating the Company’s IP or on a per unit basis, as specified in the agreements with the licensees. For the majority of the Company’s royalty revenues, it receives the actual sales data from its customers after the quarter ends and accounts for it as unbilled receivables. In such instances, the Company recognizes royalty revenues based on its estimation of the customer’s sales during the quarter.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SoC Integration Automation Software Solutions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SoC Integration Automation software (SIA) (formerly IP deployment) solutions and CSRCompiler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Majority of the Company’s SIA solutions contracts include termination rights that allow the customer to cancel and receive a pro-rata refund on support and maintenance services at the end of each month of the contract period, which results in a ratable recognition of the related license revenue over the contract term.</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Professional Services</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Company’s agreements may include service elements (other than maintenance and support services). These services include training, design assistance, and consulting. Services performed on a time and materials basis are recognized over the period the services are provided either using an output method such as labor hours, or a method that is otherwise consistent with the way in which value is delivered to the customer. Services performed on a fixed price basis are recognized over time, generally using costs incurred or hours expended to measure progress.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Multiple Performance Obligations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which are estimated considering multiple factors including observable industry pricing practices and internal pricing strategies and objectives. Standalone selling prices of professional services are typically estimated based on observable transactions when these services are sold on a standalone basis.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 price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Revenue is recognized when, or as, control of a promised product or service transfers to a client, in an amount that reflects the consideration to which the Company expects to be entitled in exchange for transferring those products or services. If the consideration promised in a contract includes a variable amount, the Company estimates the amount to which it expects to be entitled using either the expected value or most likely amount method, to the extent it is probable that a significant reversal of cumulative revenue recognized will not occur. Generally, the transaction price of the Company’s contracts is fixed at the inception of the contract, except for variable royalties. The Company’s contracts generally do not include terms that could cause variability in the transaction price.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assesses the timing of the transfer of goods or services to the customer as compared to the timing of payments to determine whether a significant financing component exists. As a practical expedient, the Company does not assess the existence of a significant financing component when the difference between payment and transfer of deliverables is a year or less. If the difference in timing arises for reasons other than the provision of finance to either the customer or the Company, no financing component is deemed to exist. When contracts involve a significant financing component, the Company adjusts the promised amount of consideration for the effects of the time value of money if the timing of payments agreed to by the parties to the contract (either explicitly or implicitly) provide the customer with a significant benefit of financing.</w:t>
      </w:r>
    </w:p>
    <w:p>
      <w:pPr>
        <w:spacing w:after="0" w:line="12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reports revenue net of any revenue-based taxes assessed by governmental authorities that are imposed on and concurrent with specific revenue-producing transactions.</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instances where foreign licensees withhold and remit taxes to local authorities in accordance with local laws and regulations, the Company recognizes and presents revenue on a gross basis and includes the withholding tax in income tax expense.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Flexible Spending Accounts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Some customers enter into a non-cancelable flexible spending account agreements (FSA Agreements) whereby the customer commits to a fixed dollar amount over a specified period of time that can be used to purchase from a list of the Company’s products or services. These agreements do not meet the definition of a revenue contract until the customer executes a separate order to identify the required products and services that they are purchasing. The combination of the FSA agreement and the subsequent order creates enforceable rights and obligations, thus meeting the definition of a revenue contract. Each separate order under the agreement is treated as an individual contract and accounted for based on the respective performance obligations included within the FSA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modifications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contracts may be modified to add, remove or change existing performance obligations. The accounting for modifications to the Company’s contracts involves assessing whether the products and services added to an existing contract are distinct and whether the pricing is at the standalone selling price. Products and services added that are not distinct are accounted for on a cumulative catch-up basis, while those that are distinct are accounted for prospectively, either as a separate contract if the additional services are priced at the standalone selling price, or as a termination of the existing contract and creation of a new contract if not priced at the standalone selling price. The Company’s more significant contract modifications include extensions of the design license term and the purchase of additional years of support and maintenance.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Judgments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contracts with customers often include promises to transfer multiple products and services to a customer. Determining whether products and services are considered distinct performance obligations that should be accounted for separately versus together requires significant judgment. Judgment is also required to determine the standalone selling price for each distinct performance obligation.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Balances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timing of revenue recognition may differ from the timing of invoicing to customers, and these timing differences result in contract assets (unbilled receivables), or contract liabilities (deferred revenue) on the Company’s consolidated balance sheets. The Company records a contract asset when revenue is recognized prior to the right to invoice, and it has an unconditional right to invoice and receive payment. The Company records deferred revenue when it invoices customers and revenue is not yet recognized. Customers are generally invoiced in single or annual amounts, although some customers are invoiced more frequently over time.</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capitalizes sales commission as costs of obtaining a contract when they are incremental and, if they are expected to be recovered, amortized in a manner consistent with the pattern of transfer of the good or service to which the asset relates.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Cost of Revenues relates to costs associated with the Company’s licensing arrangements and support and maintenance, including applicable FAE personnel-related costs such as stock-based compensation, travel, amortization of developed technology acquired intangibles and allocated overhead.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Allocation of Overhead Costs</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Overhead costs that are not substantially dedicated for use by a specific functional group are allocated based on headcount. Such costs include costs associated with office facilities, depreciation of property and equipment, certain support function personnel costs and other expenses.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Research and development costs that do not meet the criteria for capitalization are expensed as incurred. Research and development costs consist primarily of compensation, stock-based compensation, and employee benefits of engineering and product development personnel, consulting services, and other direct expenses.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Software development costs are capitalized beginning when a product’s technological feasibility has been established and ending when a product is available for general release to customers. Arteris has not capitalized any software development costs as of and for the years ended December 31, 2024, and 2023 as the period between establishing technological feasibility and general customer release has historically been short and therefore capitalizable costs have been insignificant.</w:t>
      </w:r>
    </w:p>
    <w:p>
      <w:pPr>
        <w:spacing w:after="0" w:line="119" w:lineRule="exact"/>
        <w:rPr>
          <w:sz w:val="20"/>
          <w:szCs w:val="20"/>
          <w:color w:val="auto"/>
        </w:rPr>
      </w:pPr>
    </w:p>
    <w:p>
      <w:pPr>
        <w:ind w:right="1440"/>
        <w:spacing w:after="0" w:line="447" w:lineRule="auto"/>
        <w:rPr>
          <w:sz w:val="20"/>
          <w:szCs w:val="20"/>
          <w:color w:val="auto"/>
        </w:rPr>
      </w:pPr>
      <w:r>
        <w:rPr>
          <w:rFonts w:ascii="Arial" w:cs="Arial" w:eastAsia="Arial" w:hAnsi="Arial"/>
          <w:sz w:val="17"/>
          <w:szCs w:val="17"/>
          <w:color w:val="auto"/>
        </w:rPr>
        <w:t xml:space="preserve">The Company has not capitalized any internal-use software development costs as these costs have historically been insignificant. </w:t>
      </w:r>
      <w:r>
        <w:rPr>
          <w:rFonts w:ascii="Arial" w:cs="Arial" w:eastAsia="Arial" w:hAnsi="Arial"/>
          <w:sz w:val="17"/>
          <w:szCs w:val="17"/>
          <w:b w:val="1"/>
          <w:bCs w:val="1"/>
          <w:i w:val="1"/>
          <w:iCs w:val="1"/>
          <w:color w:val="auto"/>
        </w:rPr>
        <w:t>Sales and Marketing</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Sales and marketing expenses consist of compensation and employee benefits of marketing and sales personnel and related support teams, and stock-based compensation, as well as travel, trade show sponsorships and events, conferences, and internet advertising costs. Advertising costs, included in sales and marketing expenses, are expensed as incurred. The Company incurred advertising costs of $0.1 million for both the years ended December 31, 2024, and 2023.</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169"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General and administrative expenses include executive and administrative compensation and employee benefits, depreciation, professional services fees, insurance costs, bad debt, other allocated costs, such as facility-related expenses, supplies, other fixed costs, and stock-based compensation.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measures equity classified stock-based awards, including stock options and RSUs granted to employees, directors, and non-employees based on the estimated fair values of the awards on the date of the grant. Stock-based compensation expense for awards with service-based vesting only is recognized on a straight-line basis over the requisite service period, which is generally the vesting period of such awards, as a component of operating expenses within the consolidated statements of operations. For awards that include performance conditions stock-based compensation expense is recognized on a graded vesting basis over the requisite service period. Compensation expense is not recognized until the performance condition becomes probable. The Company accounts for forfeitures related to these awards as they occur.</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fair value of each stock option grant is estimated on the date of grant using the Black-Scholes option-pricing model. This valuation model for stock-based compensation expense requires the Company to make assumptions and judgments about the variables used in the calculation including the expected term, the volatility of the Company’s common stock, and an assumed risk-free interest rate.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RSUs granted is measured as the fair value per share of the Company’s common stock on the date of grant.</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adopted the 2021 Employee Stock Purchase Plan (the 2021 ESPP) effective on October 26, 2021. The 2021 ESPP provides for six-month offering periods beginning May 22 and November 22 of each year, and each offering period consists of a six-month purchase period. The first offering under the 2021 ESPP began on May 22, 2024, and ended on November 21, 2024. Eligible employees are entitled to purchase common stock at the end of six-month offering periods, by means of limited payroll deductions, at a 15% discount from the fair market value of the common stock as of specific dates.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fair value of shares of common stock to be issued under the 2021 ESPP is estimated using the Black-Scholes option pricing model, which is impacted by the fair value of the Company’s common stock, as well as changes in assumptions regarding a number of subjective variables. These variables include the expected common stock price volatility over the term of the awards, the expected term of the awards, and the risk-free interest rate. Stock-based compensation expense for ESPP awards is recognized on a straight-line basis over the term of each ESPP offering period.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accounts for income taxes under the asset and liability method. Under this method, deferred taxes are determined based on the temporary differences between the financial statement and tax basis of assets and liabilities using tax rates expected to be in effect during the years in which the basis differences are expected to reverse. The effect of a change in tax rates on deferred tax assets and liabilities is recognized in income in the period that includes the enactment date. The Company provides for a valuation allowance when it is more likely than not that some portion, or all of its deferred tax assets will not be realized. In making such determination, the Company considers all available positive and negative evidence, including future reversals of existing taxable temporary differences, projected future taxable income, tax-planning strategies, and results of recent operations. As of December 31, 2024, and 2023, the Company recorded a full valuation allowance against its U.S. federal, state, and certain foreign jurisdiction net deferred tax assets.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ASC Topic 740, </w:t>
      </w:r>
      <w:r>
        <w:rPr>
          <w:rFonts w:ascii="Arial" w:cs="Arial" w:eastAsia="Arial" w:hAnsi="Arial"/>
          <w:sz w:val="17"/>
          <w:szCs w:val="17"/>
          <w:i w:val="1"/>
          <w:iCs w:val="1"/>
          <w:color w:val="auto"/>
        </w:rPr>
        <w:t>Accounting for Income Taxes (ASC 740),</w:t>
      </w:r>
      <w:r>
        <w:rPr>
          <w:rFonts w:ascii="Arial" w:cs="Arial" w:eastAsia="Arial" w:hAnsi="Arial"/>
          <w:sz w:val="17"/>
          <w:szCs w:val="17"/>
          <w:color w:val="auto"/>
        </w:rPr>
        <w:t xml:space="preserve">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$3.6 million and $3.5 million unrecognized tax benefits as of December 31, 2024, and 2023, respectively. The Company recognizes accrued interest and penalties related to unrecognized tax benefits as income tax expense. The amounts accrued for the payment of interest and penalties were immaterial as of both December 31, 2024, and 2023. The Company is currently not aware of any issues under review that could result in significant payments, accruals or material deviation from its position.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financials instruments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defines fair value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Company considers the principal market or the most advantageous market in which it would transact.</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maximizes the use of observable inputs and minimizes the use of unobservable inputs when measuring fair value. Observable inputs are inputs that reflect the assumptions market participants would use in valuing the asset or liability and are developed based on market data obtained from sources independent of the Company. Unobservable inputs are inputs that reflect the Company’s own assumptions about the factors that market participants would use in valuing the asset or liability developed based on the best information available in the circumstances.</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standard establishes a fair value hierarchy based on the level of independent, objective evidence surrounding the inputs used to measure fair value by requiring that the most observable inputs be used when available. A financial instrument’s categorization within the fair value hierarchy is based upon the lowest level of input that is significant to the fair value measurement. The fair value hierarchy is as follows:</w:t>
      </w:r>
    </w:p>
    <w:p>
      <w:pPr>
        <w:spacing w:after="0" w:line="114" w:lineRule="exact"/>
        <w:rPr>
          <w:sz w:val="20"/>
          <w:szCs w:val="20"/>
          <w:color w:val="auto"/>
        </w:rPr>
      </w:pPr>
    </w:p>
    <w:p>
      <w:pPr>
        <w:ind w:left="820" w:hanging="326"/>
        <w:spacing w:after="0" w:line="281" w:lineRule="auto"/>
        <w:tabs>
          <w:tab w:leader="none" w:pos="815" w:val="left"/>
        </w:tabs>
        <w:numPr>
          <w:ilvl w:val="0"/>
          <w:numId w:val="37"/>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in active markets for identical assets or liabilities that the Company has the ability to access at the measurement date.</w:t>
      </w:r>
    </w:p>
    <w:p>
      <w:pPr>
        <w:spacing w:after="0" w:line="1" w:lineRule="exact"/>
        <w:rPr>
          <w:rFonts w:ascii="Arial" w:cs="Arial" w:eastAsia="Arial" w:hAnsi="Arial"/>
          <w:sz w:val="17"/>
          <w:szCs w:val="17"/>
          <w:color w:val="auto"/>
        </w:rPr>
      </w:pPr>
    </w:p>
    <w:p>
      <w:pPr>
        <w:jc w:val="both"/>
        <w:ind w:left="820" w:hanging="326"/>
        <w:spacing w:after="0" w:line="274" w:lineRule="auto"/>
        <w:tabs>
          <w:tab w:leader="none" w:pos="815" w:val="left"/>
        </w:tabs>
        <w:numPr>
          <w:ilvl w:val="0"/>
          <w:numId w:val="37"/>
        </w:numPr>
        <w:rPr>
          <w:rFonts w:ascii="Arial" w:cs="Arial" w:eastAsia="Arial" w:hAnsi="Arial"/>
          <w:sz w:val="17"/>
          <w:szCs w:val="17"/>
          <w:color w:val="auto"/>
        </w:rPr>
      </w:pPr>
      <w:r>
        <w:rPr>
          <w:rFonts w:ascii="Arial" w:cs="Arial" w:eastAsia="Arial" w:hAnsi="Arial"/>
          <w:sz w:val="17"/>
          <w:szCs w:val="17"/>
          <w:color w:val="auto"/>
        </w:rPr>
        <w:t>Level 2 applies to assets or liabilities for which there are inputs other than quoted prices included in Level 1 that are observable for the asset or liability, either directly or indirectly, such as quoted prices for similar assets or liabilities in active markets; quoted prices for identical assets or liabilities in markets with insufficient volume or infrequent transactions (less active markets).</w:t>
      </w:r>
    </w:p>
    <w:p>
      <w:pPr>
        <w:spacing w:after="0" w:line="5"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37"/>
        </w:numPr>
        <w:rPr>
          <w:rFonts w:ascii="Arial" w:cs="Arial" w:eastAsia="Arial" w:hAnsi="Arial"/>
          <w:sz w:val="17"/>
          <w:szCs w:val="17"/>
          <w:color w:val="auto"/>
        </w:rPr>
      </w:pPr>
      <w:r>
        <w:rPr>
          <w:rFonts w:ascii="Arial" w:cs="Arial" w:eastAsia="Arial" w:hAnsi="Arial"/>
          <w:sz w:val="17"/>
          <w:szCs w:val="17"/>
          <w:color w:val="auto"/>
        </w:rPr>
        <w:t>Level 3 applies to assets or liabilities for which fair value is derived from valuation techniques in which one or more significant inputs are unobservable, including the Company’s own assumptions.</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determined the estimated fair value of financial instruments using available market information and valuation methodologies considered to be appropriate. The carrying amounts of cash and cash equivalents, accounts receivable and accounts payable approximate their fair values due to their short maturities. The Company’s investments are recorded at fair value and vendor financing arrangements are recorded at net carrying value.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All investments in debt securities have been classified as “available-for-sale” and are carried at estimated fair value as determined based upon quoted market prices or pricing models for similar securities. Management determines the appropriate classification of its investments in debt securities at the time of purchase and reevaluates such designation as of each balance sheet date. Short-term investments have original maturities of greater than three months but one year or less as of the consolidated balance sheet dates. Long-term investments have maturities greater than one year as of the consolidated balance sheet dates. If the Company expects to sell a debt security within one year, it will classify the investment as a short-term investment regardless of its stated maturity date.</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available-for-sale securities are reported at fair value with unrealized gains and losses included in accumulated other comprehensive income (loss). A decline in the fair value of the available-for-sale securities is recognized directly to net income (loss) if judged to be other than temporary. Interest earned on investments in debt securities, realized gains and losses and impairment losses, if any, on investments in debt securities are included in other income (expense), net in the consolidated statements of operations. The cost of securities sold is based on the specific-identification method.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Method Investments</w:t>
      </w:r>
    </w:p>
    <w:p>
      <w:pPr>
        <w:spacing w:after="0" w:line="169"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Company uses the equity method to account for its investments in companies which the Company does not control but is deemed to have the ability to exercise significant influence over operating and financial decisions of the investee.</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generally measures an investment in the common stock of an investee initially at cost. The carrying value of the Company’s equity method investments is reported in equity method investment on the consolidated balance sheets. The Company records its proportionate share of the income or loss in its equity method investments on a one-quarter lag. The cost is adjusted to recognize the Company's proportionate share of the investee’s net income or loss after the date of investment. The Company assesses investments for impairment whenever events or changes in circumstances indicate that the carrying value of an investment may not be recoverable.</w:t>
      </w:r>
    </w:p>
    <w:p>
      <w:pPr>
        <w:spacing w:after="0" w:line="12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Distributions received from an investee reduce the carrying value of an investment and are recorded in the consolidated statements of cash flows using the nature of distribution approach.</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Assistance</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Company's government assistance during the year ended December 31, 2024, and 2023 primarily consists of R&amp;D tax credits granted to the Company’s subsidiary in France. These R&amp;D tax credits are granted to encourage companies to conduct technical and scientific research. For accounting purposes, the foreign R&amp;D tax credits are recorded as an offset to research and development expenses in the Company’s consolidated statements of operations. The Company recorded $2.2 million and $1.9 million of foreign R&amp;D tax credit during the years ended December 31, 2024, and 2023,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In November 2023, the FASB issued ASU No. 2023-07, </w:t>
      </w:r>
      <w:r>
        <w:rPr>
          <w:rFonts w:ascii="Arial" w:cs="Arial" w:eastAsia="Arial" w:hAnsi="Arial"/>
          <w:sz w:val="17"/>
          <w:szCs w:val="17"/>
          <w:i w:val="1"/>
          <w:iCs w:val="1"/>
          <w:color w:val="auto"/>
        </w:rPr>
        <w:t>Segment Reporting (Topic 280): Improvements to Reportable Segment Disclosures</w:t>
      </w:r>
      <w:r>
        <w:rPr>
          <w:rFonts w:ascii="Arial" w:cs="Arial" w:eastAsia="Arial" w:hAnsi="Arial"/>
          <w:sz w:val="17"/>
          <w:szCs w:val="17"/>
          <w:color w:val="auto"/>
        </w:rPr>
        <w:t>, which requires disclosure of incremental segment information on an annual and interim basis. This ASU is effective for fiscal years beginning after December 15, 2023, and interim periods within fiscal years beginning after December 15, 2024, and requires retrospective application to all prior periods presented in the financial statements. As the Company operates as a single reporting segment, the adoption of the new guidance did not have a material impact on the Company’s consolidated financial statements and related disclosures. Refer to Note 18 for additional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Pronouncements Not Yet Adopted</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In November 2024, the FASB issued ASU 2024-03, </w:t>
      </w:r>
      <w:r>
        <w:rPr>
          <w:rFonts w:ascii="Arial" w:cs="Arial" w:eastAsia="Arial" w:hAnsi="Arial"/>
          <w:sz w:val="17"/>
          <w:szCs w:val="17"/>
          <w:i w:val="1"/>
          <w:iCs w:val="1"/>
          <w:color w:val="auto"/>
        </w:rPr>
        <w:t>Disaggregation of Income Statement Expenses</w:t>
      </w:r>
      <w:r>
        <w:rPr>
          <w:rFonts w:ascii="Arial" w:cs="Arial" w:eastAsia="Arial" w:hAnsi="Arial"/>
          <w:sz w:val="17"/>
          <w:szCs w:val="17"/>
          <w:color w:val="auto"/>
        </w:rPr>
        <w:t>, to provide disaggregated disclosures of specific expense categories underlying certain income statement expense line items on an annual and interim basis. This ASU is effective for fiscal years beginning after December 15, 2026 and interim periods within fiscal years beginning after December 15, 2027. The Company is currently evaluating the impact of adopting this ASU on its consolidated financial statements and disclosures.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In December 2023, the FASB issued ASU 2023-09, </w:t>
      </w:r>
      <w:r>
        <w:rPr>
          <w:rFonts w:ascii="Arial" w:cs="Arial" w:eastAsia="Arial" w:hAnsi="Arial"/>
          <w:sz w:val="17"/>
          <w:szCs w:val="17"/>
          <w:i w:val="1"/>
          <w:iCs w:val="1"/>
          <w:color w:val="auto"/>
        </w:rPr>
        <w:t>Improvements to Income Tax Disclosures</w:t>
      </w:r>
      <w:r>
        <w:rPr>
          <w:rFonts w:ascii="Arial" w:cs="Arial" w:eastAsia="Arial" w:hAnsi="Arial"/>
          <w:sz w:val="17"/>
          <w:szCs w:val="17"/>
          <w:color w:val="auto"/>
        </w:rPr>
        <w:t>, which amends the guidance in ASC 740. This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This ASU is effective for fiscal years beginning after December 15, 2024. The Company does not expect the adoption of ASU 2023-09 to have a significant impact on its consolidated financial statements and will adopt the standard effective January 1, 2025.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Disaggregated Revenue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revenue by product and services groups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Year Ended December 31,</w:t>
            </w:r>
          </w:p>
        </w:tc>
      </w:tr>
      <w:tr>
        <w:trPr>
          <w:trHeight w:val="223"/>
        </w:trPr>
        <w:tc>
          <w:tcPr>
            <w:tcW w:w="8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Licensing, support and maintenance</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52,815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48,273</w:t>
            </w:r>
          </w:p>
        </w:tc>
      </w:tr>
      <w:tr>
        <w:trPr>
          <w:trHeight w:val="250"/>
        </w:trPr>
        <w:tc>
          <w:tcPr>
            <w:tcW w:w="8140" w:type="dxa"/>
            <w:vAlign w:val="bottom"/>
          </w:tcPr>
          <w:p>
            <w:pPr>
              <w:ind w:left="20"/>
              <w:spacing w:after="0"/>
              <w:rPr>
                <w:sz w:val="20"/>
                <w:szCs w:val="20"/>
                <w:color w:val="auto"/>
              </w:rPr>
            </w:pPr>
            <w:r>
              <w:rPr>
                <w:rFonts w:ascii="Arial" w:cs="Arial" w:eastAsia="Arial" w:hAnsi="Arial"/>
                <w:sz w:val="17"/>
                <w:szCs w:val="17"/>
                <w:color w:val="auto"/>
              </w:rPr>
              <w:t>Variable royalties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4,405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5,158</w:t>
            </w: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w:t>
            </w:r>
          </w:p>
        </w:tc>
      </w:tr>
      <w:tr>
        <w:trPr>
          <w:trHeight w:val="223"/>
        </w:trPr>
        <w:tc>
          <w:tcPr>
            <w:tcW w:w="8140" w:type="dxa"/>
            <w:vAlign w:val="bottom"/>
          </w:tcPr>
          <w:p>
            <w:pPr>
              <w:ind w:left="14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57,724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53,666</w:t>
            </w:r>
          </w:p>
        </w:tc>
      </w:tr>
      <w:tr>
        <w:trPr>
          <w:trHeight w:val="21"/>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Balances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about accounts receivable, net, contract assets and deferred revenue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As of December 31,</w:t>
            </w:r>
          </w:p>
        </w:tc>
      </w:tr>
      <w:tr>
        <w:trPr>
          <w:trHeight w:val="223"/>
        </w:trPr>
        <w:tc>
          <w:tcPr>
            <w:tcW w:w="8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 net</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20,608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12,003</w:t>
            </w:r>
          </w:p>
        </w:tc>
      </w:tr>
      <w:tr>
        <w:trPr>
          <w:trHeight w:val="250"/>
        </w:trPr>
        <w:tc>
          <w:tcPr>
            <w:tcW w:w="8140" w:type="dxa"/>
            <w:vAlign w:val="bottom"/>
          </w:tcPr>
          <w:p>
            <w:pPr>
              <w:ind w:left="20"/>
              <w:spacing w:after="0"/>
              <w:rPr>
                <w:sz w:val="20"/>
                <w:szCs w:val="20"/>
                <w:color w:val="auto"/>
              </w:rPr>
            </w:pPr>
            <w:r>
              <w:rPr>
                <w:rFonts w:ascii="Arial" w:cs="Arial" w:eastAsia="Arial" w:hAnsi="Arial"/>
                <w:sz w:val="17"/>
                <w:szCs w:val="17"/>
                <w:color w:val="auto"/>
              </w:rPr>
              <w:t>Contract assets, current portion</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167</w:t>
            </w:r>
          </w:p>
        </w:tc>
        <w:tc>
          <w:tcPr>
            <w:tcW w:w="100" w:type="dxa"/>
            <w:vAlign w:val="bottom"/>
          </w:tcPr>
          <w:p>
            <w:pPr>
              <w:spacing w:after="0"/>
              <w:rPr>
                <w:sz w:val="21"/>
                <w:szCs w:val="21"/>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312</w:t>
            </w: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assets, noncurrent portion</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w:t>
            </w:r>
          </w:p>
        </w:tc>
      </w:tr>
      <w:tr>
        <w:trPr>
          <w:trHeight w:val="243"/>
        </w:trPr>
        <w:tc>
          <w:tcPr>
            <w:tcW w:w="814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75,622</w:t>
            </w:r>
          </w:p>
        </w:tc>
        <w:tc>
          <w:tcPr>
            <w:tcW w:w="100" w:type="dxa"/>
            <w:vAlign w:val="bottom"/>
          </w:tcPr>
          <w:p>
            <w:pPr>
              <w:spacing w:after="0"/>
              <w:rPr>
                <w:sz w:val="21"/>
                <w:szCs w:val="21"/>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56,709</w:t>
            </w:r>
          </w:p>
        </w:tc>
      </w:tr>
    </w:tbl>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years ended December 31, 2024, and 2023, the Company recognized revenue of $35.6 million and $29.9 million, respectively, that was included in the deferred revenue balance at the beginning of the fiscal year. Contract assets, current are included in prepaid expenses and other current assets and contract assets, noncurrent are included in other assets, respectively, on the consolidated balance sheets.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December 31, 2024, non-cancelable contracted but unsatisfied or partially satisfied performance obligations that have not yet been recognized is $86.1 million which includes deferred revenue, amounts that will be invoiced and recognized as revenues in future periods and Flexible Spending Accounts (FSA) commitments, from customers where actual product selection and quantities of specific products are to be determined by customers at a future period. The Company expects to recognize $45.9 million of this balance over the next 12 months and the remainder thereafter. FSA commitments amounted to $2.3 million and $6.2 million as of December 31, 2024, and 2023, respectively. The Company has elected to exclude the potential future royalty receipts from these amounts.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of Obtaining a Contract with a Customer</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Incremental costs of obtaining a contract with a customer consist primarily of direct sales commissions incurred upon execution of the contract. These costs are required to be capitalized under ASC 340-40, </w:t>
      </w:r>
      <w:r>
        <w:rPr>
          <w:rFonts w:ascii="Arial" w:cs="Arial" w:eastAsia="Arial" w:hAnsi="Arial"/>
          <w:sz w:val="17"/>
          <w:szCs w:val="17"/>
          <w:i w:val="1"/>
          <w:iCs w:val="1"/>
          <w:color w:val="auto"/>
        </w:rPr>
        <w:t>Other Assets and Deferred Costs—Contracts With Customers</w:t>
      </w:r>
      <w:r>
        <w:rPr>
          <w:rFonts w:ascii="Arial" w:cs="Arial" w:eastAsia="Arial" w:hAnsi="Arial"/>
          <w:sz w:val="17"/>
          <w:szCs w:val="17"/>
          <w:color w:val="auto"/>
        </w:rPr>
        <w:t>, and amortized over the license term. As direct sales commissions paid for term extensions are commensurate with the amounts paid for initial contracts, the deferred incremental costs for initial contracts and for term extensions are recognized over the respective contract terms. Total capitalized direct commission costs were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25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rPr>
              <w:t>As of December 31,</w:t>
            </w:r>
          </w:p>
        </w:tc>
        <w:tc>
          <w:tcPr>
            <w:tcW w:w="540" w:type="dxa"/>
            <w:vAlign w:val="bottom"/>
            <w:tcBorders>
              <w:bottom w:val="single" w:sz="8" w:color="auto"/>
            </w:tcBorders>
          </w:tcPr>
          <w:p>
            <w:pPr>
              <w:spacing w:after="0"/>
              <w:rPr>
                <w:sz w:val="17"/>
                <w:szCs w:val="17"/>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9"/>
                <w:szCs w:val="19"/>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commission capitalized in prepaid expenses and other current assets</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2,311</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2,408</w:t>
            </w:r>
          </w:p>
        </w:tc>
      </w:tr>
      <w:tr>
        <w:trPr>
          <w:trHeight w:val="25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commission capitalized in other assets</w:t>
            </w: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1,789</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1,353</w:t>
            </w:r>
          </w:p>
        </w:tc>
      </w:tr>
      <w:tr>
        <w:trPr>
          <w:trHeight w:val="255"/>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Amortization of capitalized sales commissions was $3.5 million and $3.7 million for the years ended December 31, 2024, and 2023, respectively, and are included in sales and marketing expense in the consolidated statements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table presents the calculation of basic and diluted net loss per share attributable to common stockholders (in thousands,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r>
      <w:tr>
        <w:trPr>
          <w:trHeight w:val="21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50"/>
        </w:trPr>
        <w:tc>
          <w:tcPr>
            <w:tcW w:w="8140" w:type="dxa"/>
            <w:vAlign w:val="bottom"/>
          </w:tcPr>
          <w:p>
            <w:pPr>
              <w:ind w:left="180"/>
              <w:spacing w:after="0"/>
              <w:rPr>
                <w:sz w:val="20"/>
                <w:szCs w:val="20"/>
                <w:color w:val="auto"/>
              </w:rPr>
            </w:pPr>
            <w:r>
              <w:rPr>
                <w:rFonts w:ascii="Arial" w:cs="Arial" w:eastAsia="Arial" w:hAnsi="Arial"/>
                <w:sz w:val="17"/>
                <w:szCs w:val="17"/>
                <w:color w:val="auto"/>
              </w:rPr>
              <w:t>Net loss</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(33,638)</w:t>
            </w:r>
          </w:p>
        </w:tc>
        <w:tc>
          <w:tcPr>
            <w:tcW w:w="100" w:type="dxa"/>
            <w:vAlign w:val="bottom"/>
          </w:tcPr>
          <w:p>
            <w:pPr>
              <w:spacing w:after="0"/>
              <w:rPr>
                <w:sz w:val="21"/>
                <w:szCs w:val="21"/>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(36,869)</w:t>
            </w: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50"/>
        </w:trPr>
        <w:tc>
          <w:tcPr>
            <w:tcW w:w="8140" w:type="dxa"/>
            <w:vAlign w:val="bottom"/>
          </w:tcPr>
          <w:p>
            <w:pPr>
              <w:ind w:left="180"/>
              <w:spacing w:after="0"/>
              <w:rPr>
                <w:sz w:val="20"/>
                <w:szCs w:val="20"/>
                <w:color w:val="auto"/>
              </w:rPr>
            </w:pPr>
            <w:r>
              <w:rPr>
                <w:rFonts w:ascii="Arial" w:cs="Arial" w:eastAsia="Arial" w:hAnsi="Arial"/>
                <w:sz w:val="17"/>
                <w:szCs w:val="17"/>
                <w:color w:val="auto"/>
              </w:rPr>
              <w:t>Weighted-average shares outstanding, basic and diluted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38,914,197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35,675,689</w:t>
            </w:r>
          </w:p>
        </w:tc>
      </w:tr>
      <w:tr>
        <w:trPr>
          <w:trHeight w:val="263"/>
        </w:trPr>
        <w:tc>
          <w:tcPr>
            <w:tcW w:w="8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7"/>
                <w:szCs w:val="17"/>
                <w:color w:val="auto"/>
              </w:rPr>
              <w:t>Net loss per share, basic and diluted</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(0.86)</w:t>
            </w:r>
          </w:p>
        </w:tc>
        <w:tc>
          <w:tcPr>
            <w:tcW w:w="100" w:type="dxa"/>
            <w:vAlign w:val="bottom"/>
          </w:tcPr>
          <w:p>
            <w:pPr>
              <w:spacing w:after="0"/>
              <w:rPr>
                <w:sz w:val="21"/>
                <w:szCs w:val="21"/>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(1.03)</w:t>
            </w:r>
          </w:p>
        </w:tc>
      </w:tr>
    </w:tbl>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Since the Company was in a loss position for the years ended December 31, 2024, and 2023, the diluted earnings per share is equal to the basic earnings per share as the effect of potentially dilutive securities would have been antidilutive.</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table summarizes the potentially dilutive securities that were excluded from the calculation of diluted earnings per share because they would be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80" w:type="dxa"/>
            <w:vAlign w:val="bottom"/>
          </w:tcPr>
          <w:p>
            <w:pPr>
              <w:spacing w:after="0"/>
              <w:rPr>
                <w:sz w:val="17"/>
                <w:szCs w:val="17"/>
                <w:color w:val="auto"/>
              </w:rPr>
            </w:pPr>
          </w:p>
        </w:tc>
        <w:tc>
          <w:tcPr>
            <w:tcW w:w="3060" w:type="dxa"/>
            <w:vAlign w:val="bottom"/>
            <w:tcBorders>
              <w:bottom w:val="single" w:sz="8" w:color="auto"/>
            </w:tcBorders>
            <w:gridSpan w:val="3"/>
          </w:tcPr>
          <w:p>
            <w:pPr>
              <w:jc w:val="right"/>
              <w:ind w:right="777"/>
              <w:spacing w:after="0"/>
              <w:rPr>
                <w:sz w:val="20"/>
                <w:szCs w:val="20"/>
                <w:color w:val="auto"/>
              </w:rPr>
            </w:pPr>
            <w:r>
              <w:rPr>
                <w:rFonts w:ascii="Arial" w:cs="Arial" w:eastAsia="Arial" w:hAnsi="Arial"/>
                <w:sz w:val="14"/>
                <w:szCs w:val="14"/>
                <w:b w:val="1"/>
                <w:bCs w:val="1"/>
                <w:color w:val="auto"/>
              </w:rPr>
              <w:t>As of December 31,</w:t>
            </w:r>
          </w:p>
        </w:tc>
      </w:tr>
      <w:tr>
        <w:trPr>
          <w:trHeight w:val="223"/>
        </w:trPr>
        <w:tc>
          <w:tcPr>
            <w:tcW w:w="81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2,197,604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2,841,764</w:t>
            </w:r>
          </w:p>
        </w:tc>
      </w:tr>
      <w:tr>
        <w:trPr>
          <w:trHeight w:val="250"/>
        </w:trPr>
        <w:tc>
          <w:tcPr>
            <w:tcW w:w="8180" w:type="dxa"/>
            <w:vAlign w:val="bottom"/>
          </w:tcPr>
          <w:p>
            <w:pPr>
              <w:ind w:left="20"/>
              <w:spacing w:after="0"/>
              <w:rPr>
                <w:sz w:val="20"/>
                <w:szCs w:val="20"/>
                <w:color w:val="auto"/>
              </w:rPr>
            </w:pPr>
            <w:r>
              <w:rPr>
                <w:rFonts w:ascii="Arial" w:cs="Arial" w:eastAsia="Arial" w:hAnsi="Arial"/>
                <w:sz w:val="17"/>
                <w:szCs w:val="17"/>
                <w:color w:val="auto"/>
              </w:rPr>
              <w:t>Restricted stock units</w:t>
            </w:r>
          </w:p>
        </w:tc>
        <w:tc>
          <w:tcPr>
            <w:tcW w:w="1480" w:type="dxa"/>
            <w:vAlign w:val="bottom"/>
          </w:tcPr>
          <w:p>
            <w:pPr>
              <w:jc w:val="right"/>
              <w:spacing w:after="0"/>
              <w:rPr>
                <w:sz w:val="20"/>
                <w:szCs w:val="20"/>
                <w:color w:val="auto"/>
              </w:rPr>
            </w:pPr>
            <w:r>
              <w:rPr>
                <w:rFonts w:ascii="Arial" w:cs="Arial" w:eastAsia="Arial" w:hAnsi="Arial"/>
                <w:sz w:val="17"/>
                <w:szCs w:val="17"/>
                <w:color w:val="auto"/>
              </w:rPr>
              <w:t>5,225,948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5,732,950</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common shares issued for business combination</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234,859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234,859</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Shares committed under the 2021 ESPP</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83,398</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55"/>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7,741,809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8,809,573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2"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The following tables summarize the fair value and amortized cost of the Company’s cash equivalents and available-for-sale securities by major security type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 December 31, 2024</w:t>
            </w: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7"/>
                <w:szCs w:val="17"/>
                <w:color w:val="auto"/>
              </w:rPr>
            </w:pPr>
          </w:p>
        </w:tc>
        <w:tc>
          <w:tcPr>
            <w:tcW w:w="1580" w:type="dxa"/>
            <w:vAlign w:val="bottom"/>
          </w:tcPr>
          <w:p>
            <w:pPr>
              <w:jc w:val="center"/>
              <w:ind w:right="57"/>
              <w:spacing w:after="0"/>
              <w:rPr>
                <w:sz w:val="20"/>
                <w:szCs w:val="20"/>
                <w:color w:val="auto"/>
              </w:rPr>
            </w:pPr>
            <w:r>
              <w:rPr>
                <w:rFonts w:ascii="Arial" w:cs="Arial" w:eastAsia="Arial" w:hAnsi="Arial"/>
                <w:sz w:val="14"/>
                <w:szCs w:val="14"/>
                <w:b w:val="1"/>
                <w:bCs w:val="1"/>
                <w:color w:val="auto"/>
              </w:rPr>
              <w:t>Aggregate Fair Value</w:t>
            </w:r>
          </w:p>
        </w:tc>
        <w:tc>
          <w:tcPr>
            <w:tcW w:w="0" w:type="dxa"/>
            <w:vAlign w:val="bottom"/>
          </w:tcPr>
          <w:p>
            <w:pPr>
              <w:spacing w:after="0"/>
              <w:rPr>
                <w:sz w:val="1"/>
                <w:szCs w:val="1"/>
                <w:color w:val="auto"/>
              </w:rPr>
            </w:pPr>
          </w:p>
        </w:tc>
      </w:tr>
      <w:tr>
        <w:trPr>
          <w:trHeight w:val="218"/>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20" w:type="dxa"/>
            <w:vAlign w:val="bottom"/>
          </w:tcPr>
          <w:p>
            <w:pPr>
              <w:ind w:left="20"/>
              <w:spacing w:after="0"/>
              <w:rPr>
                <w:sz w:val="20"/>
                <w:szCs w:val="20"/>
                <w:color w:val="auto"/>
              </w:rPr>
            </w:pPr>
            <w:r>
              <w:rPr>
                <w:rFonts w:ascii="Arial" w:cs="Arial" w:eastAsia="Arial" w:hAnsi="Arial"/>
                <w:sz w:val="17"/>
                <w:szCs w:val="17"/>
                <w:color w:val="auto"/>
              </w:rPr>
              <w:t>U.S. government agency securities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18,730</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18,746</w:t>
            </w:r>
          </w:p>
        </w:tc>
        <w:tc>
          <w:tcPr>
            <w:tcW w:w="0" w:type="dxa"/>
            <w:vAlign w:val="bottom"/>
          </w:tcPr>
          <w:p>
            <w:pPr>
              <w:spacing w:after="0"/>
              <w:rPr>
                <w:sz w:val="1"/>
                <w:szCs w:val="1"/>
                <w:color w:val="auto"/>
              </w:rPr>
            </w:pPr>
          </w:p>
        </w:tc>
      </w:tr>
      <w:tr>
        <w:trPr>
          <w:trHeight w:val="263"/>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11,753</w:t>
            </w:r>
          </w:p>
        </w:tc>
        <w:tc>
          <w:tcPr>
            <w:tcW w:w="0" w:type="dxa"/>
            <w:vAlign w:val="bottom"/>
          </w:tcPr>
          <w:p>
            <w:pPr>
              <w:spacing w:after="0"/>
              <w:rPr>
                <w:sz w:val="1"/>
                <w:szCs w:val="1"/>
                <w:color w:val="auto"/>
              </w:rPr>
            </w:pPr>
          </w:p>
        </w:tc>
      </w:tr>
      <w:tr>
        <w:trPr>
          <w:trHeight w:val="250"/>
        </w:trPr>
        <w:tc>
          <w:tcPr>
            <w:tcW w:w="5920" w:type="dxa"/>
            <w:vAlign w:val="bottom"/>
          </w:tcPr>
          <w:p>
            <w:pPr>
              <w:ind w:left="20"/>
              <w:spacing w:after="0"/>
              <w:rPr>
                <w:sz w:val="20"/>
                <w:szCs w:val="20"/>
                <w:color w:val="auto"/>
              </w:rPr>
            </w:pPr>
            <w:r>
              <w:rPr>
                <w:rFonts w:ascii="Arial" w:cs="Arial" w:eastAsia="Arial" w:hAnsi="Arial"/>
                <w:sz w:val="17"/>
                <w:szCs w:val="17"/>
                <w:color w:val="auto"/>
              </w:rPr>
              <w:t>Money market funds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10,410</w:t>
            </w:r>
          </w:p>
        </w:tc>
        <w:tc>
          <w:tcPr>
            <w:tcW w:w="0" w:type="dxa"/>
            <w:vAlign w:val="bottom"/>
          </w:tcPr>
          <w:p>
            <w:pPr>
              <w:spacing w:after="0"/>
              <w:rPr>
                <w:sz w:val="1"/>
                <w:szCs w:val="1"/>
                <w:color w:val="auto"/>
              </w:rPr>
            </w:pPr>
          </w:p>
        </w:tc>
      </w:tr>
      <w:tr>
        <w:trPr>
          <w:trHeight w:val="263"/>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bonds</w:t>
            </w: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8,157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8,162</w:t>
            </w:r>
          </w:p>
        </w:tc>
        <w:tc>
          <w:tcPr>
            <w:tcW w:w="0" w:type="dxa"/>
            <w:vAlign w:val="bottom"/>
          </w:tcPr>
          <w:p>
            <w:pPr>
              <w:spacing w:after="0"/>
              <w:rPr>
                <w:sz w:val="1"/>
                <w:szCs w:val="1"/>
                <w:color w:val="auto"/>
              </w:rPr>
            </w:pPr>
          </w:p>
        </w:tc>
      </w:tr>
      <w:tr>
        <w:trPr>
          <w:trHeight w:val="223"/>
        </w:trPr>
        <w:tc>
          <w:tcPr>
            <w:tcW w:w="5920" w:type="dxa"/>
            <w:vAlign w:val="bottom"/>
          </w:tcPr>
          <w:p>
            <w:pPr>
              <w:ind w:left="140"/>
              <w:spacing w:after="0"/>
              <w:rPr>
                <w:sz w:val="20"/>
                <w:szCs w:val="20"/>
                <w:color w:val="auto"/>
              </w:rPr>
            </w:pPr>
            <w:r>
              <w:rPr>
                <w:rFonts w:ascii="Arial" w:cs="Arial" w:eastAsia="Arial" w:hAnsi="Arial"/>
                <w:sz w:val="17"/>
                <w:szCs w:val="17"/>
                <w:color w:val="auto"/>
              </w:rPr>
              <w:t>Total financial assets</w:t>
            </w: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49,049</w:t>
            </w:r>
          </w:p>
        </w:tc>
        <w:tc>
          <w:tcPr>
            <w:tcW w:w="1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49,071</w:t>
            </w: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9"/>
        </w:trPr>
        <w:tc>
          <w:tcPr>
            <w:tcW w:w="5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2"/>
                <w:szCs w:val="12"/>
                <w:color w:val="auto"/>
              </w:rPr>
            </w:pPr>
          </w:p>
        </w:tc>
        <w:tc>
          <w:tcPr>
            <w:tcW w:w="16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2"/>
                <w:szCs w:val="12"/>
                <w:color w:val="auto"/>
              </w:rPr>
            </w:pPr>
          </w:p>
        </w:tc>
        <w:tc>
          <w:tcPr>
            <w:tcW w:w="158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rPr>
              <w:t>Aggregate Fair Value</w:t>
            </w:r>
          </w:p>
        </w:tc>
        <w:tc>
          <w:tcPr>
            <w:tcW w:w="0" w:type="dxa"/>
            <w:vAlign w:val="bottom"/>
          </w:tcPr>
          <w:p>
            <w:pPr>
              <w:spacing w:after="0"/>
              <w:rPr>
                <w:sz w:val="1"/>
                <w:szCs w:val="1"/>
                <w:color w:val="auto"/>
              </w:rPr>
            </w:pPr>
          </w:p>
        </w:tc>
      </w:tr>
      <w:tr>
        <w:trPr>
          <w:trHeight w:val="185"/>
        </w:trPr>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20" w:type="dxa"/>
            <w:vAlign w:val="bottom"/>
          </w:tcPr>
          <w:p>
            <w:pPr>
              <w:ind w:left="20"/>
              <w:spacing w:after="0"/>
              <w:rPr>
                <w:sz w:val="20"/>
                <w:szCs w:val="20"/>
                <w:color w:val="auto"/>
              </w:rPr>
            </w:pPr>
            <w:r>
              <w:rPr>
                <w:rFonts w:ascii="Arial" w:cs="Arial" w:eastAsia="Arial" w:hAnsi="Arial"/>
                <w:sz w:val="17"/>
                <w:szCs w:val="17"/>
                <w:color w:val="auto"/>
              </w:rPr>
              <w:t>U.S. government agency securities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19,461</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19,490</w:t>
            </w:r>
          </w:p>
        </w:tc>
        <w:tc>
          <w:tcPr>
            <w:tcW w:w="0" w:type="dxa"/>
            <w:vAlign w:val="bottom"/>
          </w:tcPr>
          <w:p>
            <w:pPr>
              <w:spacing w:after="0"/>
              <w:rPr>
                <w:sz w:val="1"/>
                <w:szCs w:val="1"/>
                <w:color w:val="auto"/>
              </w:rPr>
            </w:pPr>
          </w:p>
        </w:tc>
      </w:tr>
      <w:tr>
        <w:trPr>
          <w:trHeight w:val="263"/>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10,633</w:t>
            </w:r>
          </w:p>
        </w:tc>
        <w:tc>
          <w:tcPr>
            <w:tcW w:w="0" w:type="dxa"/>
            <w:vAlign w:val="bottom"/>
          </w:tcPr>
          <w:p>
            <w:pPr>
              <w:spacing w:after="0"/>
              <w:rPr>
                <w:sz w:val="1"/>
                <w:szCs w:val="1"/>
                <w:color w:val="auto"/>
              </w:rPr>
            </w:pPr>
          </w:p>
        </w:tc>
      </w:tr>
      <w:tr>
        <w:trPr>
          <w:trHeight w:val="250"/>
        </w:trPr>
        <w:tc>
          <w:tcPr>
            <w:tcW w:w="5920" w:type="dxa"/>
            <w:vAlign w:val="bottom"/>
          </w:tcPr>
          <w:p>
            <w:pPr>
              <w:ind w:left="20"/>
              <w:spacing w:after="0"/>
              <w:rPr>
                <w:sz w:val="20"/>
                <w:szCs w:val="20"/>
                <w:color w:val="auto"/>
              </w:rPr>
            </w:pPr>
            <w:r>
              <w:rPr>
                <w:rFonts w:ascii="Arial" w:cs="Arial" w:eastAsia="Arial" w:hAnsi="Arial"/>
                <w:sz w:val="17"/>
                <w:szCs w:val="17"/>
                <w:color w:val="auto"/>
              </w:rPr>
              <w:t>Money market funds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8,026</w:t>
            </w:r>
          </w:p>
        </w:tc>
        <w:tc>
          <w:tcPr>
            <w:tcW w:w="0" w:type="dxa"/>
            <w:vAlign w:val="bottom"/>
          </w:tcPr>
          <w:p>
            <w:pPr>
              <w:spacing w:after="0"/>
              <w:rPr>
                <w:sz w:val="1"/>
                <w:szCs w:val="1"/>
                <w:color w:val="auto"/>
              </w:rPr>
            </w:pPr>
          </w:p>
        </w:tc>
      </w:tr>
      <w:tr>
        <w:trPr>
          <w:trHeight w:val="263"/>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bonds</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5,658</w:t>
            </w:r>
          </w:p>
        </w:tc>
        <w:tc>
          <w:tcPr>
            <w:tcW w:w="0" w:type="dxa"/>
            <w:vAlign w:val="bottom"/>
          </w:tcPr>
          <w:p>
            <w:pPr>
              <w:spacing w:after="0"/>
              <w:rPr>
                <w:sz w:val="1"/>
                <w:szCs w:val="1"/>
                <w:color w:val="auto"/>
              </w:rPr>
            </w:pPr>
          </w:p>
        </w:tc>
      </w:tr>
      <w:tr>
        <w:trPr>
          <w:trHeight w:val="250"/>
        </w:trPr>
        <w:tc>
          <w:tcPr>
            <w:tcW w:w="5920" w:type="dxa"/>
            <w:vAlign w:val="bottom"/>
          </w:tcPr>
          <w:p>
            <w:pPr>
              <w:ind w:left="20"/>
              <w:spacing w:after="0"/>
              <w:rPr>
                <w:sz w:val="20"/>
                <w:szCs w:val="20"/>
                <w:color w:val="auto"/>
              </w:rPr>
            </w:pPr>
            <w:r>
              <w:rPr>
                <w:rFonts w:ascii="Arial" w:cs="Arial" w:eastAsia="Arial" w:hAnsi="Arial"/>
                <w:sz w:val="17"/>
                <w:szCs w:val="17"/>
                <w:color w:val="auto"/>
              </w:rPr>
              <w:t>Certificate of deposit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r>
        <w:trPr>
          <w:trHeight w:val="263"/>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989</w:t>
            </w:r>
          </w:p>
        </w:tc>
        <w:tc>
          <w:tcPr>
            <w:tcW w:w="0" w:type="dxa"/>
            <w:vAlign w:val="bottom"/>
          </w:tcPr>
          <w:p>
            <w:pPr>
              <w:spacing w:after="0"/>
              <w:rPr>
                <w:sz w:val="1"/>
                <w:szCs w:val="1"/>
                <w:color w:val="auto"/>
              </w:rPr>
            </w:pPr>
          </w:p>
        </w:tc>
      </w:tr>
      <w:tr>
        <w:trPr>
          <w:trHeight w:val="223"/>
        </w:trPr>
        <w:tc>
          <w:tcPr>
            <w:tcW w:w="5920" w:type="dxa"/>
            <w:vAlign w:val="bottom"/>
          </w:tcPr>
          <w:p>
            <w:pPr>
              <w:ind w:left="140"/>
              <w:spacing w:after="0"/>
              <w:rPr>
                <w:sz w:val="20"/>
                <w:szCs w:val="20"/>
                <w:color w:val="auto"/>
              </w:rPr>
            </w:pPr>
            <w:r>
              <w:rPr>
                <w:rFonts w:ascii="Arial" w:cs="Arial" w:eastAsia="Arial" w:hAnsi="Arial"/>
                <w:sz w:val="17"/>
                <w:szCs w:val="17"/>
                <w:color w:val="auto"/>
              </w:rPr>
              <w:t>Total financial assets</w:t>
            </w: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49,756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49,796</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140" w:type="dxa"/>
            <w:vAlign w:val="bottom"/>
            <w:gridSpan w:val="2"/>
          </w:tcPr>
          <w:p>
            <w:pPr>
              <w:spacing w:after="0"/>
              <w:rPr>
                <w:sz w:val="20"/>
                <w:szCs w:val="20"/>
                <w:color w:val="auto"/>
              </w:rPr>
            </w:pPr>
            <w:r>
              <w:rPr>
                <w:rFonts w:ascii="Arial" w:cs="Arial" w:eastAsia="Arial" w:hAnsi="Arial"/>
                <w:sz w:val="17"/>
                <w:szCs w:val="17"/>
                <w:color w:val="auto"/>
              </w:rPr>
              <w:t>The maturity dates of the Company’s investments are as follows (in thousands):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24"/>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than one year</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40,567</w:t>
            </w:r>
          </w:p>
        </w:tc>
        <w:tc>
          <w:tcPr>
            <w:tcW w:w="0" w:type="dxa"/>
            <w:vAlign w:val="bottom"/>
          </w:tcPr>
          <w:p>
            <w:pPr>
              <w:spacing w:after="0"/>
              <w:rPr>
                <w:sz w:val="1"/>
                <w:szCs w:val="1"/>
                <w:color w:val="auto"/>
              </w:rPr>
            </w:pPr>
          </w:p>
        </w:tc>
      </w:tr>
      <w:tr>
        <w:trPr>
          <w:trHeight w:val="227"/>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1-2 years</w:t>
            </w:r>
          </w:p>
        </w:tc>
        <w:tc>
          <w:tcPr>
            <w:tcW w:w="2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8,504</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49,071</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of December 31, 2024, there were no securities in a continuous net unrealized loss position for more than 12 months. As of December 31, 2023, securities with a fair value of $3.7 million were in a continuous net unrealized loss position for more than 12 months. As of both December 31, 2024, and 2023,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at maturity. Thus, as of both December 31, 2024, and 2023 no allowance for credit losses or impairment losses for the Company’s investments were recorded.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Assets Measured and Recorded at Fair Value on a Non-Recurring Basis</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Equity method investments, and certain non-financial assets, such as intangible assets, are remeasured at fair value only if an impairment or observable price adjustment is recognized in the current period.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Not Recorded at Fair Value on a Recurring Basis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Financial instruments not recorded at fair value on a recurring basis include vendor financing arrangements. The carrying value of the vendor financing agreements was $2.1 million and $3.4 million as of December 31, 2024, and 2023, respectively. The Company’s vendor financing arrangements are classified within Level 2 because these borrowings are not actively traded and have a variable interest rate structure based upon the Company’s incremental borrowing rate. The estimated fair values of these financial instruments approximate their carrying values.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Recorded at Fair Value on a Recurring Basis</w:t>
      </w:r>
    </w:p>
    <w:p>
      <w:pPr>
        <w:spacing w:after="0" w:line="16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following tables summarize the Company’s financial assets measured at fair value on a recurring basis by level within the fair value hierarchy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080" w:type="dxa"/>
            <w:vAlign w:val="bottom"/>
            <w:tcBorders>
              <w:top w:val="single" w:sz="8" w:color="auto"/>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As of December 31, 2024</w:t>
            </w:r>
          </w:p>
        </w:tc>
        <w:tc>
          <w:tcPr>
            <w:tcW w:w="4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r>
      <w:tr>
        <w:trPr>
          <w:trHeight w:val="196"/>
        </w:trPr>
        <w:tc>
          <w:tcPr>
            <w:tcW w:w="3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3"/>
          </w:tcPr>
          <w:p>
            <w:pPr>
              <w:ind w:left="620"/>
              <w:spacing w:after="0"/>
              <w:rPr>
                <w:sz w:val="20"/>
                <w:szCs w:val="20"/>
                <w:color w:val="auto"/>
              </w:rPr>
            </w:pPr>
            <w:r>
              <w:rPr>
                <w:rFonts w:ascii="Arial" w:cs="Arial" w:eastAsia="Arial" w:hAnsi="Arial"/>
                <w:sz w:val="14"/>
                <w:szCs w:val="14"/>
                <w:b w:val="1"/>
                <w:bCs w:val="1"/>
                <w:color w:val="auto"/>
              </w:rPr>
              <w:t>Level 2</w:t>
            </w:r>
          </w:p>
        </w:tc>
        <w:tc>
          <w:tcPr>
            <w:tcW w:w="1280" w:type="dxa"/>
            <w:vAlign w:val="bottom"/>
          </w:tcPr>
          <w:p>
            <w:pPr>
              <w:jc w:val="right"/>
              <w:ind w:right="99"/>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ind w:right="436"/>
              <w:spacing w:after="0"/>
              <w:rPr>
                <w:sz w:val="20"/>
                <w:szCs w:val="20"/>
                <w:color w:val="auto"/>
              </w:rPr>
            </w:pPr>
            <w:r>
              <w:rPr>
                <w:rFonts w:ascii="Arial" w:cs="Arial" w:eastAsia="Arial" w:hAnsi="Arial"/>
                <w:sz w:val="14"/>
                <w:szCs w:val="14"/>
                <w:b w:val="1"/>
                <w:bCs w:val="1"/>
                <w:color w:val="auto"/>
              </w:rPr>
              <w:t>Fair Value</w:t>
            </w:r>
          </w:p>
        </w:tc>
      </w:tr>
      <w:tr>
        <w:trPr>
          <w:trHeight w:val="238"/>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30"/>
        </w:trPr>
        <w:tc>
          <w:tcPr>
            <w:tcW w:w="3660" w:type="dxa"/>
            <w:vAlign w:val="bottom"/>
            <w:gridSpan w:val="2"/>
          </w:tcPr>
          <w:p>
            <w:pPr>
              <w:ind w:left="20"/>
              <w:spacing w:after="0"/>
              <w:rPr>
                <w:sz w:val="20"/>
                <w:szCs w:val="20"/>
                <w:color w:val="auto"/>
              </w:rPr>
            </w:pPr>
            <w:r>
              <w:rPr>
                <w:rFonts w:ascii="Arial" w:cs="Arial" w:eastAsia="Arial" w:hAnsi="Arial"/>
                <w:sz w:val="17"/>
                <w:szCs w:val="17"/>
                <w:color w:val="auto"/>
              </w:rPr>
              <w:t>Cash equivalents:</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3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10,410</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80" w:type="dxa"/>
            <w:vAlign w:val="bottom"/>
            <w:gridSpan w:val="2"/>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10,410</w:t>
            </w:r>
          </w:p>
        </w:tc>
      </w:tr>
      <w:tr>
        <w:trPr>
          <w:trHeight w:val="230"/>
        </w:trPr>
        <w:tc>
          <w:tcPr>
            <w:tcW w:w="3660" w:type="dxa"/>
            <w:vAlign w:val="bottom"/>
            <w:gridSpan w:val="2"/>
          </w:tcPr>
          <w:p>
            <w:pPr>
              <w:ind w:left="20"/>
              <w:spacing w:after="0"/>
              <w:rPr>
                <w:sz w:val="20"/>
                <w:szCs w:val="20"/>
                <w:color w:val="auto"/>
              </w:rPr>
            </w:pPr>
            <w:r>
              <w:rPr>
                <w:rFonts w:ascii="Arial" w:cs="Arial" w:eastAsia="Arial" w:hAnsi="Arial"/>
                <w:sz w:val="17"/>
                <w:szCs w:val="17"/>
                <w:color w:val="auto"/>
              </w:rPr>
              <w:t>Total cash equivalents</w:t>
            </w: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10,410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tcPr>
          <w:p>
            <w:pPr>
              <w:spacing w:after="0"/>
              <w:rPr>
                <w:sz w:val="20"/>
                <w:szCs w:val="20"/>
                <w:color w:val="auto"/>
              </w:rPr>
            </w:pPr>
          </w:p>
        </w:tc>
        <w:tc>
          <w:tcPr>
            <w:tcW w:w="520" w:type="dxa"/>
            <w:vAlign w:val="bottom"/>
            <w:gridSpan w:val="4"/>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10,410</w:t>
            </w:r>
          </w:p>
        </w:tc>
      </w:tr>
      <w:tr>
        <w:trPr>
          <w:trHeight w:val="223"/>
        </w:trPr>
        <w:tc>
          <w:tcPr>
            <w:tcW w:w="36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1100" w:type="dxa"/>
            <w:vAlign w:val="bottom"/>
            <w:tcBorders>
              <w:top w:val="single" w:sz="8" w:color="auto"/>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50"/>
        </w:trPr>
        <w:tc>
          <w:tcPr>
            <w:tcW w:w="3660" w:type="dxa"/>
            <w:vAlign w:val="bottom"/>
            <w:gridSpan w:val="2"/>
          </w:tcPr>
          <w:p>
            <w:pPr>
              <w:ind w:left="140"/>
              <w:spacing w:after="0"/>
              <w:rPr>
                <w:sz w:val="20"/>
                <w:szCs w:val="20"/>
                <w:color w:val="auto"/>
              </w:rPr>
            </w:pPr>
            <w:r>
              <w:rPr>
                <w:rFonts w:ascii="Arial" w:cs="Arial" w:eastAsia="Arial" w:hAnsi="Arial"/>
                <w:sz w:val="17"/>
                <w:szCs w:val="17"/>
                <w:color w:val="auto"/>
              </w:rPr>
              <w:t>Corporate bonds</w:t>
            </w:r>
          </w:p>
        </w:tc>
        <w:tc>
          <w:tcPr>
            <w:tcW w:w="1100" w:type="dxa"/>
            <w:vAlign w:val="bottom"/>
          </w:tcPr>
          <w:p>
            <w:pPr>
              <w:spacing w:after="0"/>
              <w:rPr>
                <w:sz w:val="21"/>
                <w:szCs w:val="21"/>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5,542</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20" w:type="dxa"/>
            <w:vAlign w:val="bottom"/>
            <w:gridSpan w:val="4"/>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5,542</w:t>
            </w:r>
          </w:p>
        </w:tc>
      </w:tr>
      <w:tr>
        <w:trPr>
          <w:trHeight w:val="263"/>
        </w:trPr>
        <w:tc>
          <w:tcPr>
            <w:tcW w:w="3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U.S. government agency securities</w:t>
            </w:r>
          </w:p>
        </w:tc>
        <w:tc>
          <w:tcPr>
            <w:tcW w:w="110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14,850</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52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14,850</w:t>
            </w:r>
          </w:p>
        </w:tc>
      </w:tr>
      <w:tr>
        <w:trPr>
          <w:trHeight w:val="250"/>
        </w:trPr>
        <w:tc>
          <w:tcPr>
            <w:tcW w:w="3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U.S. treasury securities</w:t>
            </w:r>
          </w:p>
        </w:tc>
        <w:tc>
          <w:tcPr>
            <w:tcW w:w="1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9,765</w:t>
            </w: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gridSpan w:val="2"/>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9,765</w:t>
            </w:r>
          </w:p>
        </w:tc>
      </w:tr>
      <w:tr>
        <w:trPr>
          <w:trHeight w:val="243"/>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110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30,157</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52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30,157</w:t>
            </w:r>
          </w:p>
        </w:tc>
      </w:tr>
      <w:tr>
        <w:trPr>
          <w:trHeight w:val="210"/>
        </w:trPr>
        <w:tc>
          <w:tcPr>
            <w:tcW w:w="3660" w:type="dxa"/>
            <w:vAlign w:val="bottom"/>
            <w:gridSpan w:val="2"/>
          </w:tcPr>
          <w:p>
            <w:pPr>
              <w:ind w:left="20"/>
              <w:spacing w:after="0"/>
              <w:rPr>
                <w:sz w:val="20"/>
                <w:szCs w:val="20"/>
                <w:color w:val="auto"/>
              </w:rPr>
            </w:pPr>
            <w:r>
              <w:rPr>
                <w:rFonts w:ascii="Arial" w:cs="Arial" w:eastAsia="Arial" w:hAnsi="Arial"/>
                <w:sz w:val="17"/>
                <w:szCs w:val="17"/>
                <w:color w:val="auto"/>
              </w:rPr>
              <w:t>Long-term investments:</w:t>
            </w:r>
          </w:p>
        </w:tc>
        <w:tc>
          <w:tcPr>
            <w:tcW w:w="1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7"/>
        </w:trPr>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3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Corporate bonds</w:t>
            </w:r>
          </w:p>
        </w:tc>
        <w:tc>
          <w:tcPr>
            <w:tcW w:w="110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2,620</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52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2,620</w:t>
            </w:r>
          </w:p>
        </w:tc>
      </w:tr>
      <w:tr>
        <w:trPr>
          <w:trHeight w:val="250"/>
        </w:trPr>
        <w:tc>
          <w:tcPr>
            <w:tcW w:w="3660" w:type="dxa"/>
            <w:vAlign w:val="bottom"/>
            <w:gridSpan w:val="2"/>
          </w:tcPr>
          <w:p>
            <w:pPr>
              <w:ind w:left="140"/>
              <w:spacing w:after="0"/>
              <w:rPr>
                <w:sz w:val="20"/>
                <w:szCs w:val="20"/>
                <w:color w:val="auto"/>
              </w:rPr>
            </w:pPr>
            <w:r>
              <w:rPr>
                <w:rFonts w:ascii="Arial" w:cs="Arial" w:eastAsia="Arial" w:hAnsi="Arial"/>
                <w:sz w:val="17"/>
                <w:szCs w:val="17"/>
                <w:color w:val="auto"/>
              </w:rPr>
              <w:t>U.S. treasury securities</w:t>
            </w:r>
          </w:p>
        </w:tc>
        <w:tc>
          <w:tcPr>
            <w:tcW w:w="1100" w:type="dxa"/>
            <w:vAlign w:val="bottom"/>
          </w:tcPr>
          <w:p>
            <w:pPr>
              <w:spacing w:after="0"/>
              <w:rPr>
                <w:sz w:val="21"/>
                <w:szCs w:val="21"/>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1,988</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20" w:type="dxa"/>
            <w:vAlign w:val="bottom"/>
            <w:gridSpan w:val="4"/>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1,988</w:t>
            </w:r>
          </w:p>
        </w:tc>
      </w:tr>
      <w:tr>
        <w:trPr>
          <w:trHeight w:val="263"/>
        </w:trPr>
        <w:tc>
          <w:tcPr>
            <w:tcW w:w="3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U.S. government agency securities</w:t>
            </w:r>
          </w:p>
        </w:tc>
        <w:tc>
          <w:tcPr>
            <w:tcW w:w="1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3,896</w:t>
            </w:r>
          </w:p>
        </w:tc>
        <w:tc>
          <w:tcPr>
            <w:tcW w:w="100" w:type="dxa"/>
            <w:vAlign w:val="bottom"/>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80" w:type="dxa"/>
            <w:vAlign w:val="bottom"/>
            <w:gridSpan w:val="2"/>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3,896</w:t>
            </w:r>
          </w:p>
        </w:tc>
      </w:tr>
      <w:tr>
        <w:trPr>
          <w:trHeight w:val="230"/>
        </w:trPr>
        <w:tc>
          <w:tcPr>
            <w:tcW w:w="3660" w:type="dxa"/>
            <w:vAlign w:val="bottom"/>
            <w:gridSpan w:val="2"/>
          </w:tcPr>
          <w:p>
            <w:pPr>
              <w:ind w:left="20"/>
              <w:spacing w:after="0"/>
              <w:rPr>
                <w:sz w:val="20"/>
                <w:szCs w:val="20"/>
                <w:color w:val="auto"/>
              </w:rPr>
            </w:pPr>
            <w:r>
              <w:rPr>
                <w:rFonts w:ascii="Arial" w:cs="Arial" w:eastAsia="Arial" w:hAnsi="Arial"/>
                <w:sz w:val="17"/>
                <w:szCs w:val="17"/>
                <w:color w:val="auto"/>
              </w:rPr>
              <w:t>Total long-term investments</w:t>
            </w:r>
          </w:p>
        </w:tc>
        <w:tc>
          <w:tcPr>
            <w:tcW w:w="110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8,504</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gridSpan w:val="4"/>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8,504</w:t>
            </w:r>
          </w:p>
        </w:tc>
      </w:tr>
      <w:tr>
        <w:trPr>
          <w:trHeight w:val="255"/>
        </w:trPr>
        <w:tc>
          <w:tcPr>
            <w:tcW w:w="36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Total financial assets</w:t>
            </w: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10,410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01"/>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38,661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1079"/>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bottom w:val="single" w:sz="8" w:color="auto"/>
            </w:tcBorders>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49,071</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338"/>
        </w:trPr>
        <w:tc>
          <w:tcPr>
            <w:tcW w:w="3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As of December 31, 2023</w:t>
            </w: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96"/>
        </w:trPr>
        <w:tc>
          <w:tcPr>
            <w:tcW w:w="3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ind w:right="436"/>
              <w:spacing w:after="0"/>
              <w:rPr>
                <w:sz w:val="20"/>
                <w:szCs w:val="20"/>
                <w:color w:val="auto"/>
              </w:rPr>
            </w:pPr>
            <w:r>
              <w:rPr>
                <w:rFonts w:ascii="Arial" w:cs="Arial" w:eastAsia="Arial" w:hAnsi="Arial"/>
                <w:sz w:val="14"/>
                <w:szCs w:val="14"/>
                <w:b w:val="1"/>
                <w:bCs w:val="1"/>
                <w:color w:val="auto"/>
              </w:rPr>
              <w:t>Fair Value</w:t>
            </w:r>
          </w:p>
        </w:tc>
      </w:tr>
      <w:tr>
        <w:trPr>
          <w:trHeight w:val="238"/>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30"/>
        </w:trPr>
        <w:tc>
          <w:tcPr>
            <w:tcW w:w="3660" w:type="dxa"/>
            <w:vAlign w:val="bottom"/>
            <w:gridSpan w:val="2"/>
          </w:tcPr>
          <w:p>
            <w:pPr>
              <w:ind w:left="20"/>
              <w:spacing w:after="0"/>
              <w:rPr>
                <w:sz w:val="20"/>
                <w:szCs w:val="20"/>
                <w:color w:val="auto"/>
              </w:rPr>
            </w:pPr>
            <w:r>
              <w:rPr>
                <w:rFonts w:ascii="Arial" w:cs="Arial" w:eastAsia="Arial" w:hAnsi="Arial"/>
                <w:sz w:val="17"/>
                <w:szCs w:val="17"/>
                <w:color w:val="auto"/>
              </w:rPr>
              <w:t>Cash equivalents:</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6"/>
        </w:trPr>
        <w:tc>
          <w:tcPr>
            <w:tcW w:w="3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099"/>
              <w:spacing w:after="0"/>
              <w:rPr>
                <w:sz w:val="20"/>
                <w:szCs w:val="20"/>
                <w:color w:val="auto"/>
              </w:rPr>
            </w:pPr>
            <w:r>
              <w:rPr>
                <w:rFonts w:ascii="Arial" w:cs="Arial" w:eastAsia="Arial" w:hAnsi="Arial"/>
                <w:sz w:val="17"/>
                <w:szCs w:val="17"/>
                <w:color w:val="auto"/>
                <w:w w:val="84"/>
              </w:rPr>
              <w:t>$</w:t>
            </w:r>
          </w:p>
        </w:tc>
        <w:tc>
          <w:tcPr>
            <w:tcW w:w="52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8,026</w:t>
            </w:r>
          </w:p>
        </w:tc>
      </w:tr>
      <w:tr>
        <w:trPr>
          <w:trHeight w:val="250"/>
        </w:trPr>
        <w:tc>
          <w:tcPr>
            <w:tcW w:w="36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U.S. treasury securities</w:t>
            </w:r>
          </w:p>
        </w:tc>
        <w:tc>
          <w:tcPr>
            <w:tcW w:w="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gridSpan w:val="2"/>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2,491</w:t>
            </w: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2,491</w:t>
            </w:r>
          </w:p>
        </w:tc>
      </w:tr>
      <w:tr>
        <w:trPr>
          <w:trHeight w:val="243"/>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equivalents</w:t>
            </w:r>
          </w:p>
        </w:tc>
        <w:tc>
          <w:tcPr>
            <w:tcW w:w="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52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10,517</w:t>
            </w:r>
          </w:p>
        </w:tc>
      </w:tr>
      <w:tr>
        <w:trPr>
          <w:trHeight w:val="210"/>
        </w:trPr>
        <w:tc>
          <w:tcPr>
            <w:tcW w:w="364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7"/>
        </w:trPr>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6"/>
        </w:trPr>
        <w:tc>
          <w:tcPr>
            <w:tcW w:w="3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Certificate of deposit</w:t>
            </w:r>
          </w:p>
        </w:tc>
        <w:tc>
          <w:tcPr>
            <w:tcW w:w="110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52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r>
      <w:tr>
        <w:trPr>
          <w:trHeight w:val="250"/>
        </w:trPr>
        <w:tc>
          <w:tcPr>
            <w:tcW w:w="3660" w:type="dxa"/>
            <w:vAlign w:val="bottom"/>
            <w:gridSpan w:val="2"/>
          </w:tcPr>
          <w:p>
            <w:pPr>
              <w:ind w:left="140"/>
              <w:spacing w:after="0"/>
              <w:rPr>
                <w:sz w:val="20"/>
                <w:szCs w:val="20"/>
                <w:color w:val="auto"/>
              </w:rPr>
            </w:pPr>
            <w:r>
              <w:rPr>
                <w:rFonts w:ascii="Arial" w:cs="Arial" w:eastAsia="Arial" w:hAnsi="Arial"/>
                <w:sz w:val="17"/>
                <w:szCs w:val="17"/>
                <w:color w:val="auto"/>
              </w:rPr>
              <w:t>Commercial paper</w:t>
            </w:r>
          </w:p>
        </w:tc>
        <w:tc>
          <w:tcPr>
            <w:tcW w:w="1100" w:type="dxa"/>
            <w:vAlign w:val="bottom"/>
          </w:tcPr>
          <w:p>
            <w:pPr>
              <w:spacing w:after="0"/>
              <w:rPr>
                <w:sz w:val="21"/>
                <w:szCs w:val="21"/>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989</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20" w:type="dxa"/>
            <w:vAlign w:val="bottom"/>
            <w:gridSpan w:val="4"/>
          </w:tcPr>
          <w:p>
            <w:pPr>
              <w:ind w:lef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989</w:t>
            </w:r>
          </w:p>
        </w:tc>
      </w:tr>
      <w:tr>
        <w:trPr>
          <w:trHeight w:val="263"/>
        </w:trPr>
        <w:tc>
          <w:tcPr>
            <w:tcW w:w="3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Corporate bonds</w:t>
            </w:r>
          </w:p>
        </w:tc>
        <w:tc>
          <w:tcPr>
            <w:tcW w:w="110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3,696</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52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3,696</w:t>
            </w:r>
          </w:p>
        </w:tc>
      </w:tr>
      <w:tr>
        <w:trPr>
          <w:trHeight w:val="250"/>
        </w:trPr>
        <w:tc>
          <w:tcPr>
            <w:tcW w:w="3660" w:type="dxa"/>
            <w:vAlign w:val="bottom"/>
            <w:gridSpan w:val="2"/>
          </w:tcPr>
          <w:p>
            <w:pPr>
              <w:ind w:left="140"/>
              <w:spacing w:after="0"/>
              <w:rPr>
                <w:sz w:val="20"/>
                <w:szCs w:val="20"/>
                <w:color w:val="auto"/>
              </w:rPr>
            </w:pPr>
            <w:r>
              <w:rPr>
                <w:rFonts w:ascii="Arial" w:cs="Arial" w:eastAsia="Arial" w:hAnsi="Arial"/>
                <w:sz w:val="17"/>
                <w:szCs w:val="17"/>
                <w:color w:val="auto"/>
              </w:rPr>
              <w:t>U.S. government agency securities</w:t>
            </w:r>
          </w:p>
        </w:tc>
        <w:tc>
          <w:tcPr>
            <w:tcW w:w="1100" w:type="dxa"/>
            <w:vAlign w:val="bottom"/>
          </w:tcPr>
          <w:p>
            <w:pPr>
              <w:spacing w:after="0"/>
              <w:rPr>
                <w:sz w:val="21"/>
                <w:szCs w:val="21"/>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9,650</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20" w:type="dxa"/>
            <w:vAlign w:val="bottom"/>
            <w:gridSpan w:val="4"/>
          </w:tcPr>
          <w:p>
            <w:pPr>
              <w:ind w:lef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9,650</w:t>
            </w:r>
          </w:p>
        </w:tc>
      </w:tr>
      <w:tr>
        <w:trPr>
          <w:trHeight w:val="263"/>
        </w:trPr>
        <w:tc>
          <w:tcPr>
            <w:tcW w:w="3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gridSpan w:val="2"/>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8,142</w:t>
            </w:r>
          </w:p>
        </w:tc>
        <w:tc>
          <w:tcPr>
            <w:tcW w:w="100" w:type="dxa"/>
            <w:vAlign w:val="bottom"/>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80" w:type="dxa"/>
            <w:vAlign w:val="bottom"/>
            <w:gridSpan w:val="2"/>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8,142</w:t>
            </w:r>
          </w:p>
        </w:tc>
      </w:tr>
      <w:tr>
        <w:trPr>
          <w:trHeight w:val="230"/>
        </w:trPr>
        <w:tc>
          <w:tcPr>
            <w:tcW w:w="3640" w:type="dxa"/>
            <w:vAlign w:val="bottom"/>
          </w:tcPr>
          <w:p>
            <w:pPr>
              <w:ind w:left="20"/>
              <w:spacing w:after="0"/>
              <w:rPr>
                <w:sz w:val="20"/>
                <w:szCs w:val="20"/>
                <w:color w:val="auto"/>
              </w:rPr>
            </w:pPr>
            <w:r>
              <w:rPr>
                <w:rFonts w:ascii="Arial" w:cs="Arial" w:eastAsia="Arial" w:hAnsi="Arial"/>
                <w:sz w:val="17"/>
                <w:szCs w:val="17"/>
                <w:color w:val="auto"/>
              </w:rPr>
              <w:t>Total short-term investments</w:t>
            </w: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6"/>
              </w:rPr>
              <w:t>27,477</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gridSpan w:val="4"/>
          </w:tcPr>
          <w:p>
            <w:pPr>
              <w:ind w:lef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27,477</w:t>
            </w:r>
          </w:p>
        </w:tc>
      </w:tr>
      <w:tr>
        <w:trPr>
          <w:trHeight w:val="223"/>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investments:</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50"/>
        </w:trPr>
        <w:tc>
          <w:tcPr>
            <w:tcW w:w="3660" w:type="dxa"/>
            <w:vAlign w:val="bottom"/>
            <w:gridSpan w:val="2"/>
          </w:tcPr>
          <w:p>
            <w:pPr>
              <w:ind w:left="140"/>
              <w:spacing w:after="0"/>
              <w:rPr>
                <w:sz w:val="20"/>
                <w:szCs w:val="20"/>
                <w:color w:val="auto"/>
              </w:rPr>
            </w:pPr>
            <w:r>
              <w:rPr>
                <w:rFonts w:ascii="Arial" w:cs="Arial" w:eastAsia="Arial" w:hAnsi="Arial"/>
                <w:sz w:val="17"/>
                <w:szCs w:val="17"/>
                <w:color w:val="auto"/>
              </w:rPr>
              <w:t>Corporate bonds</w:t>
            </w:r>
          </w:p>
        </w:tc>
        <w:tc>
          <w:tcPr>
            <w:tcW w:w="1100" w:type="dxa"/>
            <w:vAlign w:val="bottom"/>
          </w:tcPr>
          <w:p>
            <w:pPr>
              <w:spacing w:after="0"/>
              <w:rPr>
                <w:sz w:val="21"/>
                <w:szCs w:val="21"/>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1,962</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20" w:type="dxa"/>
            <w:vAlign w:val="bottom"/>
            <w:gridSpan w:val="4"/>
          </w:tcPr>
          <w:p>
            <w:pPr>
              <w:ind w:lef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1,962</w:t>
            </w:r>
          </w:p>
        </w:tc>
      </w:tr>
      <w:tr>
        <w:trPr>
          <w:trHeight w:val="263"/>
        </w:trPr>
        <w:tc>
          <w:tcPr>
            <w:tcW w:w="3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government agency securities</w:t>
            </w:r>
          </w:p>
        </w:tc>
        <w:tc>
          <w:tcPr>
            <w:tcW w:w="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gridSpan w:val="2"/>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9,840</w:t>
            </w:r>
          </w:p>
        </w:tc>
        <w:tc>
          <w:tcPr>
            <w:tcW w:w="100" w:type="dxa"/>
            <w:vAlign w:val="bottom"/>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80" w:type="dxa"/>
            <w:vAlign w:val="bottom"/>
            <w:gridSpan w:val="2"/>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9,840</w:t>
            </w:r>
          </w:p>
        </w:tc>
      </w:tr>
      <w:tr>
        <w:trPr>
          <w:trHeight w:val="230"/>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long-term investments</w:t>
            </w: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gridSpan w:val="2"/>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11,802</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11,802</w:t>
            </w:r>
          </w:p>
        </w:tc>
      </w:tr>
      <w:tr>
        <w:trPr>
          <w:trHeight w:val="250"/>
        </w:trPr>
        <w:tc>
          <w:tcPr>
            <w:tcW w:w="3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Total financial assets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41,770</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99"/>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80" w:type="dxa"/>
            <w:vAlign w:val="bottom"/>
            <w:gridSpan w:val="2"/>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49,796</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Money market funds are highly liquid investments and are actively traded. The fair value is based on quoted prices for identical assets in active markets and therefore classified as Level 1 of the fair value hierarchy.</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Company’s other investments are considered Level 2 financial instruments as their fair values are determined using inputs that are directly or indirectly observable in active or less active markets. There were no transfers between levels during the periods presented.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 net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net consisted of the following as of December 31, 2024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Fair Value</w:t>
            </w: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32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Net Book Value</w:t>
            </w:r>
          </w:p>
        </w:tc>
        <w:tc>
          <w:tcPr>
            <w:tcW w:w="1560" w:type="dxa"/>
            <w:vAlign w:val="bottom"/>
          </w:tcPr>
          <w:p>
            <w:pPr>
              <w:jc w:val="center"/>
              <w:ind w:left="2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5"/>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237"/>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3,590</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(1,835)</w:t>
            </w:r>
          </w:p>
        </w:tc>
        <w:tc>
          <w:tcPr>
            <w:tcW w:w="8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1,755</w:t>
            </w:r>
          </w:p>
        </w:tc>
        <w:tc>
          <w:tcPr>
            <w:tcW w:w="156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7"/>
                <w:szCs w:val="17"/>
                <w:color w:val="auto"/>
              </w:rPr>
              <w:t>5.6 years</w:t>
            </w: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(744)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1,086</w:t>
            </w:r>
          </w:p>
        </w:tc>
        <w:tc>
          <w:tcPr>
            <w:tcW w:w="1560" w:type="dxa"/>
            <w:vAlign w:val="bottom"/>
          </w:tcPr>
          <w:p>
            <w:pPr>
              <w:ind w:left="840"/>
              <w:spacing w:after="0"/>
              <w:rPr>
                <w:sz w:val="20"/>
                <w:szCs w:val="20"/>
                <w:color w:val="auto"/>
              </w:rPr>
            </w:pPr>
            <w:r>
              <w:rPr>
                <w:rFonts w:ascii="Arial" w:cs="Arial" w:eastAsia="Arial" w:hAnsi="Arial"/>
                <w:sz w:val="17"/>
                <w:szCs w:val="17"/>
                <w:color w:val="auto"/>
              </w:rPr>
              <w:t>5.0 years</w:t>
            </w:r>
          </w:p>
        </w:tc>
        <w:tc>
          <w:tcPr>
            <w:tcW w:w="0" w:type="dxa"/>
            <w:vAlign w:val="bottom"/>
          </w:tcPr>
          <w:p>
            <w:pPr>
              <w:spacing w:after="0"/>
              <w:rPr>
                <w:sz w:val="1"/>
                <w:szCs w:val="1"/>
                <w:color w:val="auto"/>
              </w:rPr>
            </w:pPr>
          </w:p>
        </w:tc>
      </w:tr>
      <w:tr>
        <w:trPr>
          <w:trHeight w:val="263"/>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 and other</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560" w:type="dxa"/>
            <w:vAlign w:val="bottom"/>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140"/>
              <w:spacing w:after="0"/>
              <w:rPr>
                <w:sz w:val="20"/>
                <w:szCs w:val="20"/>
                <w:color w:val="auto"/>
              </w:rPr>
            </w:pPr>
            <w:r>
              <w:rPr>
                <w:rFonts w:ascii="Arial" w:cs="Arial" w:eastAsia="Arial" w:hAnsi="Arial"/>
                <w:sz w:val="17"/>
                <w:szCs w:val="17"/>
                <w:color w:val="auto"/>
              </w:rPr>
              <w:t>Total intangibles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3,024</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net consisted of the following as of December 31, 2023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Fair Value</w:t>
            </w: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32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Net Book Value</w:t>
            </w:r>
          </w:p>
        </w:tc>
        <w:tc>
          <w:tcPr>
            <w:tcW w:w="1560" w:type="dxa"/>
            <w:vAlign w:val="bottom"/>
          </w:tcPr>
          <w:p>
            <w:pPr>
              <w:ind w:left="20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5"/>
        </w:trPr>
        <w:tc>
          <w:tcPr>
            <w:tcW w:w="50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237"/>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1,843</w:t>
            </w:r>
          </w:p>
        </w:tc>
        <w:tc>
          <w:tcPr>
            <w:tcW w:w="15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4.6 years</w:t>
            </w: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(515)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1,315</w:t>
            </w:r>
          </w:p>
        </w:tc>
        <w:tc>
          <w:tcPr>
            <w:tcW w:w="1560" w:type="dxa"/>
            <w:vAlign w:val="bottom"/>
          </w:tcPr>
          <w:p>
            <w:pPr>
              <w:ind w:left="840"/>
              <w:spacing w:after="0"/>
              <w:rPr>
                <w:sz w:val="20"/>
                <w:szCs w:val="20"/>
                <w:color w:val="auto"/>
              </w:rPr>
            </w:pPr>
            <w:r>
              <w:rPr>
                <w:rFonts w:ascii="Arial" w:cs="Arial" w:eastAsia="Arial" w:hAnsi="Arial"/>
                <w:sz w:val="17"/>
                <w:szCs w:val="17"/>
                <w:color w:val="auto"/>
              </w:rPr>
              <w:t>5.9 years</w:t>
            </w:r>
          </w:p>
        </w:tc>
        <w:tc>
          <w:tcPr>
            <w:tcW w:w="0" w:type="dxa"/>
            <w:vAlign w:val="bottom"/>
          </w:tcPr>
          <w:p>
            <w:pPr>
              <w:spacing w:after="0"/>
              <w:rPr>
                <w:sz w:val="1"/>
                <w:szCs w:val="1"/>
                <w:color w:val="auto"/>
              </w:rPr>
            </w:pPr>
          </w:p>
        </w:tc>
      </w:tr>
      <w:tr>
        <w:trPr>
          <w:trHeight w:val="263"/>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IPR&amp;D</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560" w:type="dxa"/>
            <w:vAlign w:val="bottom"/>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Arial" w:cs="Arial" w:eastAsia="Arial" w:hAnsi="Arial"/>
                <w:sz w:val="17"/>
                <w:szCs w:val="17"/>
                <w:color w:val="auto"/>
              </w:rPr>
              <w:t>Trade name and other</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200</w:t>
            </w:r>
          </w:p>
        </w:tc>
        <w:tc>
          <w:tcPr>
            <w:tcW w:w="1560" w:type="dxa"/>
            <w:vAlign w:val="bottom"/>
          </w:tcPr>
          <w:p>
            <w:pPr>
              <w:ind w:lef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5"/>
        </w:trPr>
        <w:tc>
          <w:tcPr>
            <w:tcW w:w="50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intangibles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3,858</w:t>
            </w: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In July 2024, the Company completed an IPR&amp;D project that resulted in the reclassification of $0.5 million from IPR&amp;D to developed technology.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of intangible assets was $0.8 million for both the years ended December 31, 2024, and 2023.</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expected future amortization expense of these intangible assets as of December 31, 2024, is as follows (in thousands)</w:t>
      </w:r>
      <w:r>
        <w:rPr>
          <w:rFonts w:ascii="Arial" w:cs="Arial" w:eastAsia="Arial" w:hAnsi="Arial"/>
          <w:sz w:val="21"/>
          <w:szCs w:val="21"/>
          <w:color w:val="auto"/>
        </w:rPr>
        <w: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Fiscal year ending December 31,</w:t>
            </w:r>
          </w:p>
        </w:tc>
        <w:tc>
          <w:tcPr>
            <w:tcW w:w="4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7"/>
                <w:szCs w:val="17"/>
                <w:color w:val="auto"/>
              </w:rPr>
              <w:t>Amount</w:t>
            </w:r>
          </w:p>
        </w:tc>
      </w:tr>
      <w:tr>
        <w:trPr>
          <w:trHeight w:val="221"/>
        </w:trPr>
        <w:tc>
          <w:tcPr>
            <w:tcW w:w="8980" w:type="dxa"/>
            <w:vAlign w:val="bottom"/>
          </w:tcPr>
          <w:p>
            <w:pPr>
              <w:ind w:left="20"/>
              <w:spacing w:after="0"/>
              <w:rPr>
                <w:sz w:val="20"/>
                <w:szCs w:val="20"/>
                <w:color w:val="auto"/>
              </w:rPr>
            </w:pPr>
            <w:r>
              <w:rPr>
                <w:rFonts w:ascii="Arial" w:cs="Arial" w:eastAsia="Arial" w:hAnsi="Arial"/>
                <w:sz w:val="17"/>
                <w:szCs w:val="17"/>
                <w:color w:val="auto"/>
              </w:rPr>
              <w:t>2025</w:t>
            </w:r>
          </w:p>
        </w:tc>
        <w:tc>
          <w:tcPr>
            <w:tcW w:w="460" w:type="dxa"/>
            <w:vAlign w:val="bottom"/>
          </w:tcPr>
          <w:p>
            <w:pPr>
              <w:jc w:val="right"/>
              <w:ind w:right="275"/>
              <w:spacing w:after="0"/>
              <w:rPr>
                <w:sz w:val="20"/>
                <w:szCs w:val="20"/>
                <w:color w:val="auto"/>
              </w:rPr>
            </w:pPr>
            <w:r>
              <w:rPr>
                <w:rFonts w:ascii="Arial" w:cs="Arial" w:eastAsia="Arial" w:hAnsi="Arial"/>
                <w:sz w:val="17"/>
                <w:szCs w:val="17"/>
                <w:color w:val="auto"/>
                <w:w w:val="84"/>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856</w:t>
            </w:r>
          </w:p>
        </w:tc>
      </w:tr>
      <w:tr>
        <w:trPr>
          <w:trHeight w:val="232"/>
        </w:trPr>
        <w:tc>
          <w:tcPr>
            <w:tcW w:w="8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4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w:t>
            </w:r>
          </w:p>
        </w:tc>
      </w:tr>
      <w:tr>
        <w:trPr>
          <w:trHeight w:val="227"/>
        </w:trPr>
        <w:tc>
          <w:tcPr>
            <w:tcW w:w="8980" w:type="dxa"/>
            <w:vAlign w:val="bottom"/>
          </w:tcPr>
          <w:p>
            <w:pPr>
              <w:ind w:left="20"/>
              <w:spacing w:after="0"/>
              <w:rPr>
                <w:sz w:val="20"/>
                <w:szCs w:val="20"/>
                <w:color w:val="auto"/>
              </w:rPr>
            </w:pPr>
            <w:r>
              <w:rPr>
                <w:rFonts w:ascii="Arial" w:cs="Arial" w:eastAsia="Arial" w:hAnsi="Arial"/>
                <w:sz w:val="17"/>
                <w:szCs w:val="17"/>
                <w:color w:val="auto"/>
              </w:rPr>
              <w:t>2027</w:t>
            </w:r>
          </w:p>
        </w:tc>
        <w:tc>
          <w:tcPr>
            <w:tcW w:w="4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527</w:t>
            </w:r>
          </w:p>
        </w:tc>
      </w:tr>
      <w:tr>
        <w:trPr>
          <w:trHeight w:val="232"/>
        </w:trPr>
        <w:tc>
          <w:tcPr>
            <w:tcW w:w="8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4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w:t>
            </w:r>
          </w:p>
        </w:tc>
      </w:tr>
      <w:tr>
        <w:trPr>
          <w:trHeight w:val="227"/>
        </w:trPr>
        <w:tc>
          <w:tcPr>
            <w:tcW w:w="8980" w:type="dxa"/>
            <w:vAlign w:val="bottom"/>
          </w:tcPr>
          <w:p>
            <w:pPr>
              <w:ind w:left="20"/>
              <w:spacing w:after="0"/>
              <w:rPr>
                <w:sz w:val="20"/>
                <w:szCs w:val="20"/>
                <w:color w:val="auto"/>
              </w:rPr>
            </w:pPr>
            <w:r>
              <w:rPr>
                <w:rFonts w:ascii="Arial" w:cs="Arial" w:eastAsia="Arial" w:hAnsi="Arial"/>
                <w:sz w:val="17"/>
                <w:szCs w:val="17"/>
                <w:color w:val="auto"/>
              </w:rPr>
              <w:t>2029</w:t>
            </w:r>
          </w:p>
        </w:tc>
        <w:tc>
          <w:tcPr>
            <w:tcW w:w="4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340</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w:t>
            </w:r>
          </w:p>
        </w:tc>
      </w:tr>
      <w:tr>
        <w:trPr>
          <w:trHeight w:val="225"/>
        </w:trPr>
        <w:tc>
          <w:tcPr>
            <w:tcW w:w="8980" w:type="dxa"/>
            <w:vAlign w:val="bottom"/>
          </w:tcPr>
          <w:p>
            <w:pPr>
              <w:ind w:left="140"/>
              <w:spacing w:after="0"/>
              <w:rPr>
                <w:sz w:val="20"/>
                <w:szCs w:val="20"/>
                <w:color w:val="auto"/>
              </w:rPr>
            </w:pPr>
            <w:r>
              <w:rPr>
                <w:rFonts w:ascii="Arial" w:cs="Arial" w:eastAsia="Arial" w:hAnsi="Arial"/>
                <w:sz w:val="17"/>
                <w:szCs w:val="17"/>
                <w:color w:val="auto"/>
              </w:rPr>
              <w:t>Total future amortization expense</w:t>
            </w:r>
          </w:p>
        </w:tc>
        <w:tc>
          <w:tcPr>
            <w:tcW w:w="4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2,874</w:t>
            </w:r>
          </w:p>
        </w:tc>
      </w:tr>
      <w:tr>
        <w:trPr>
          <w:trHeight w:val="20"/>
        </w:trPr>
        <w:tc>
          <w:tcPr>
            <w:tcW w:w="8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Goodwill was $4.2 million as of both December 31, 2024, and 2023. No goodwill impairments were recorded during the years ended December 31, 2024, and 2023.</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BALANCE SHEET COMPONENTS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Certain changes in presentation have been made to conform the prior period presentation to the current period reporting.</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net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accounts receivable, net,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19,373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11,061</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Unbilled accounts receivable</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1,035</w:t>
            </w: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accounts receivable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20,739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12,096</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allowance for credit losses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54"/>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accounts receivable, net</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The allowance for credit losses was $0.1 million as of both December 31, 2024, and 2023.</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8140" w:type="dxa"/>
            <w:vAlign w:val="bottom"/>
          </w:tcPr>
          <w:p>
            <w:pPr>
              <w:spacing w:after="0"/>
              <w:rPr>
                <w:sz w:val="20"/>
                <w:szCs w:val="20"/>
                <w:color w:val="auto"/>
              </w:rPr>
            </w:pPr>
            <w:r>
              <w:rPr>
                <w:rFonts w:ascii="Arial" w:cs="Arial" w:eastAsia="Arial" w:hAnsi="Arial"/>
                <w:sz w:val="17"/>
                <w:szCs w:val="17"/>
                <w:b w:val="1"/>
                <w:bCs w:val="1"/>
                <w:i w:val="1"/>
                <w:iCs w:val="1"/>
                <w:color w:val="auto"/>
              </w:rPr>
              <w:t>Prepaid Expenses and Other Current Assets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140" w:type="dxa"/>
            <w:vAlign w:val="bottom"/>
          </w:tcPr>
          <w:p>
            <w:pPr>
              <w:spacing w:after="0"/>
              <w:rPr>
                <w:sz w:val="20"/>
                <w:szCs w:val="20"/>
                <w:color w:val="auto"/>
              </w:rPr>
            </w:pPr>
            <w:r>
              <w:rPr>
                <w:rFonts w:ascii="Arial" w:cs="Arial" w:eastAsia="Arial" w:hAnsi="Arial"/>
                <w:sz w:val="17"/>
                <w:szCs w:val="17"/>
                <w:color w:val="auto"/>
              </w:rPr>
              <w:t>Prepaid expenses and other current assets consisted of the following (in thousands):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Capitalized commissions asset, net</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2,408</w:t>
            </w:r>
          </w:p>
        </w:tc>
        <w:tc>
          <w:tcPr>
            <w:tcW w:w="0" w:type="dxa"/>
            <w:vAlign w:val="bottom"/>
          </w:tcPr>
          <w:p>
            <w:pPr>
              <w:spacing w:after="0"/>
              <w:rPr>
                <w:sz w:val="1"/>
                <w:szCs w:val="1"/>
                <w:color w:val="auto"/>
              </w:rPr>
            </w:pPr>
          </w:p>
        </w:tc>
      </w:tr>
      <w:tr>
        <w:trPr>
          <w:trHeight w:val="250"/>
        </w:trPr>
        <w:tc>
          <w:tcPr>
            <w:tcW w:w="8140" w:type="dxa"/>
            <w:vAlign w:val="bottom"/>
          </w:tcPr>
          <w:p>
            <w:pPr>
              <w:ind w:left="20"/>
              <w:spacing w:after="0"/>
              <w:rPr>
                <w:sz w:val="20"/>
                <w:szCs w:val="20"/>
                <w:color w:val="auto"/>
              </w:rPr>
            </w:pPr>
            <w:r>
              <w:rPr>
                <w:rFonts w:ascii="Arial" w:cs="Arial" w:eastAsia="Arial" w:hAnsi="Arial"/>
                <w:sz w:val="17"/>
                <w:szCs w:val="17"/>
                <w:color w:val="auto"/>
              </w:rPr>
              <w:t>Insurance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1,032</w:t>
            </w: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 &amp; subscriptions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0" w:type="dxa"/>
            <w:vAlign w:val="bottom"/>
          </w:tcPr>
          <w:p>
            <w:pPr>
              <w:spacing w:after="0"/>
              <w:rPr>
                <w:sz w:val="1"/>
                <w:szCs w:val="1"/>
                <w:color w:val="auto"/>
              </w:rPr>
            </w:pPr>
          </w:p>
        </w:tc>
      </w:tr>
      <w:tr>
        <w:trPr>
          <w:trHeight w:val="250"/>
        </w:trPr>
        <w:tc>
          <w:tcPr>
            <w:tcW w:w="8140" w:type="dxa"/>
            <w:vAlign w:val="bottom"/>
          </w:tcPr>
          <w:p>
            <w:pPr>
              <w:ind w:left="20"/>
              <w:spacing w:after="0"/>
              <w:rPr>
                <w:sz w:val="20"/>
                <w:szCs w:val="20"/>
                <w:color w:val="auto"/>
              </w:rPr>
            </w:pPr>
            <w:r>
              <w:rPr>
                <w:rFonts w:ascii="Arial" w:cs="Arial" w:eastAsia="Arial" w:hAnsi="Arial"/>
                <w:sz w:val="17"/>
                <w:szCs w:val="17"/>
                <w:color w:val="auto"/>
              </w:rPr>
              <w:t>Investment interest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w:t>
            </w:r>
          </w:p>
        </w:tc>
        <w:tc>
          <w:tcPr>
            <w:tcW w:w="0" w:type="dxa"/>
            <w:vAlign w:val="bottom"/>
          </w:tcPr>
          <w:p>
            <w:pPr>
              <w:spacing w:after="0"/>
              <w:rPr>
                <w:sz w:val="1"/>
                <w:szCs w:val="1"/>
                <w:color w:val="auto"/>
              </w:rPr>
            </w:pPr>
          </w:p>
        </w:tc>
      </w:tr>
      <w:tr>
        <w:trPr>
          <w:trHeight w:val="255"/>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prepaid expenses and other current assets</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5,254</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rPr>
              <w:t>Property and Equipment,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8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140" w:type="dxa"/>
            <w:vAlign w:val="bottom"/>
          </w:tcPr>
          <w:p>
            <w:pPr>
              <w:spacing w:after="0"/>
              <w:rPr>
                <w:sz w:val="20"/>
                <w:szCs w:val="20"/>
                <w:color w:val="auto"/>
              </w:rPr>
            </w:pPr>
            <w:r>
              <w:rPr>
                <w:rFonts w:ascii="Arial" w:cs="Arial" w:eastAsia="Arial" w:hAnsi="Arial"/>
                <w:sz w:val="17"/>
                <w:szCs w:val="17"/>
                <w:color w:val="auto"/>
              </w:rPr>
              <w:t>Property and equipment consisted of the following (in thousands):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 and technology equipment</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7,574</w:t>
            </w:r>
          </w:p>
        </w:tc>
        <w:tc>
          <w:tcPr>
            <w:tcW w:w="0" w:type="dxa"/>
            <w:vAlign w:val="bottom"/>
          </w:tcPr>
          <w:p>
            <w:pPr>
              <w:spacing w:after="0"/>
              <w:rPr>
                <w:sz w:val="1"/>
                <w:szCs w:val="1"/>
                <w:color w:val="auto"/>
              </w:rPr>
            </w:pPr>
          </w:p>
        </w:tc>
      </w:tr>
      <w:tr>
        <w:trPr>
          <w:trHeight w:val="250"/>
        </w:trPr>
        <w:tc>
          <w:tcPr>
            <w:tcW w:w="8140" w:type="dxa"/>
            <w:vAlign w:val="bottom"/>
          </w:tcPr>
          <w:p>
            <w:pPr>
              <w:ind w:left="20"/>
              <w:spacing w:after="0"/>
              <w:rPr>
                <w:sz w:val="20"/>
                <w:szCs w:val="20"/>
                <w:color w:val="auto"/>
              </w:rPr>
            </w:pPr>
            <w:r>
              <w:rPr>
                <w:rFonts w:ascii="Arial" w:cs="Arial" w:eastAsia="Arial" w:hAnsi="Arial"/>
                <w:sz w:val="17"/>
                <w:szCs w:val="17"/>
                <w:color w:val="auto"/>
              </w:rPr>
              <w:t>Office furniture and hardware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863</w:t>
            </w: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Construction in progress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property and equipment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9,007</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(3,262)</w:t>
            </w:r>
          </w:p>
        </w:tc>
        <w:tc>
          <w:tcPr>
            <w:tcW w:w="0" w:type="dxa"/>
            <w:vAlign w:val="bottom"/>
          </w:tcPr>
          <w:p>
            <w:pPr>
              <w:spacing w:after="0"/>
              <w:rPr>
                <w:sz w:val="1"/>
                <w:szCs w:val="1"/>
                <w:color w:val="auto"/>
              </w:rPr>
            </w:pPr>
          </w:p>
        </w:tc>
      </w:tr>
      <w:tr>
        <w:trPr>
          <w:trHeight w:val="255"/>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property and equipment, net</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Depreciation and amortization expenses related to property and equipment for the years ended December 31, 2024, and 2023, were $2.5 million and $2.3 million, respectively.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Assets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Other assets consisted of the following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25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rPr>
              <w:t>As of December 31,</w:t>
            </w:r>
          </w:p>
        </w:tc>
        <w:tc>
          <w:tcPr>
            <w:tcW w:w="540" w:type="dxa"/>
            <w:vAlign w:val="bottom"/>
            <w:tcBorders>
              <w:bottom w:val="single" w:sz="8" w:color="auto"/>
            </w:tcBorders>
          </w:tcPr>
          <w:p>
            <w:pPr>
              <w:spacing w:after="0"/>
              <w:rPr>
                <w:sz w:val="17"/>
                <w:szCs w:val="17"/>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9"/>
                <w:szCs w:val="19"/>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R&amp;D tax credit receivable</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5,408</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3,516</w:t>
            </w:r>
          </w:p>
        </w:tc>
      </w:tr>
      <w:tr>
        <w:trPr>
          <w:trHeight w:val="250"/>
        </w:trPr>
        <w:tc>
          <w:tcPr>
            <w:tcW w:w="8140" w:type="dxa"/>
            <w:vAlign w:val="bottom"/>
          </w:tcPr>
          <w:p>
            <w:pPr>
              <w:ind w:left="20"/>
              <w:spacing w:after="0"/>
              <w:rPr>
                <w:sz w:val="20"/>
                <w:szCs w:val="20"/>
                <w:color w:val="auto"/>
              </w:rPr>
            </w:pPr>
            <w:r>
              <w:rPr>
                <w:rFonts w:ascii="Arial" w:cs="Arial" w:eastAsia="Arial" w:hAnsi="Arial"/>
                <w:sz w:val="17"/>
                <w:szCs w:val="17"/>
                <w:color w:val="auto"/>
              </w:rPr>
              <w:t>Capitalized commissions asset, net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1,789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1,353</w:t>
            </w: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assets</w:t>
            </w:r>
          </w:p>
        </w:tc>
        <w:tc>
          <w:tcPr>
            <w:tcW w:w="96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w:t>
            </w:r>
          </w:p>
        </w:tc>
      </w:tr>
      <w:tr>
        <w:trPr>
          <w:trHeight w:val="25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w:t>
            </w:r>
          </w:p>
        </w:tc>
      </w:tr>
      <w:tr>
        <w:trPr>
          <w:trHeight w:val="254"/>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other assets</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Expenses and Other Current Liabilities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and other current liabilities consisted of the following (in thousands):</w:t>
      </w:r>
    </w:p>
    <w:p>
      <w:pPr>
        <w:spacing w:after="0" w:line="236"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32385</wp:posOffset>
            </wp:positionV>
            <wp:extent cx="19627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62" w:lineRule="exact"/>
        <w:rPr>
          <w:sz w:val="20"/>
          <w:szCs w:val="20"/>
          <w:color w:val="auto"/>
        </w:rPr>
      </w:pPr>
    </w:p>
    <w:p>
      <w:pPr>
        <w:ind w:left="8740"/>
        <w:spacing w:after="0"/>
        <w:tabs>
          <w:tab w:leader="none" w:pos="103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Payroll and related benefits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Customer refund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63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income</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Accrued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Contingent acquisition milestone liability</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Total accrued expenses and other current liabilities</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Liabilities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Other liabilities consist of the following (in thousands):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52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10,035</w:t>
            </w:r>
          </w:p>
        </w:tc>
        <w:tc>
          <w:tcPr>
            <w:tcW w:w="100" w:type="dxa"/>
            <w:vAlign w:val="bottom"/>
          </w:tcPr>
          <w:p>
            <w:pPr>
              <w:spacing w:after="0"/>
              <w:rPr>
                <w:sz w:val="19"/>
                <w:szCs w:val="19"/>
                <w:color w:val="auto"/>
              </w:rPr>
            </w:pPr>
          </w:p>
        </w:tc>
        <w:tc>
          <w:tcPr>
            <w:tcW w:w="52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8,815</w:t>
            </w:r>
          </w:p>
        </w:tc>
      </w:tr>
      <w:tr>
        <w:trPr>
          <w:trHeight w:val="256"/>
        </w:trPr>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1,761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333</w:t>
            </w:r>
          </w:p>
        </w:tc>
      </w:tr>
      <w:tr>
        <w:trPr>
          <w:trHeight w:val="257"/>
        </w:trPr>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1,179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1,182</w:t>
            </w:r>
          </w:p>
        </w:tc>
      </w:tr>
      <w:tr>
        <w:trPr>
          <w:trHeight w:val="257"/>
        </w:trPr>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992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1,010</w:t>
            </w:r>
          </w:p>
        </w:tc>
      </w:tr>
      <w:tr>
        <w:trPr>
          <w:trHeight w:val="257"/>
        </w:trPr>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826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3"/>
        </w:trPr>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1,106</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491</w:t>
            </w:r>
          </w:p>
        </w:tc>
      </w:tr>
      <w:tr>
        <w:trPr>
          <w:trHeight w:val="227"/>
        </w:trPr>
        <w:tc>
          <w:tcPr>
            <w:tcW w:w="5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15,899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11,831</w:t>
            </w:r>
          </w:p>
        </w:tc>
      </w:tr>
      <w:tr>
        <w:trPr>
          <w:trHeight w:val="23"/>
        </w:trPr>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9627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62" w:lineRule="exact"/>
        <w:rPr>
          <w:sz w:val="20"/>
          <w:szCs w:val="20"/>
          <w:color w:val="auto"/>
        </w:rPr>
      </w:pPr>
    </w:p>
    <w:p>
      <w:pPr>
        <w:ind w:left="600"/>
        <w:spacing w:after="0"/>
        <w:tabs>
          <w:tab w:leader="none" w:pos="218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35" w:lineRule="exact"/>
        <w:rPr>
          <w:sz w:val="20"/>
          <w:szCs w:val="20"/>
          <w:color w:val="auto"/>
        </w:rPr>
      </w:pPr>
    </w:p>
    <w:p>
      <w:pPr>
        <w:sectPr>
          <w:pgSz w:w="11900" w:h="16838" w:orient="portrait"/>
          <w:cols w:equalWidth="0" w:num="2">
            <w:col w:w="7420" w:space="720"/>
            <w:col w:w="31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Pension accrual</w:t>
            </w:r>
          </w:p>
        </w:tc>
        <w:tc>
          <w:tcPr>
            <w:tcW w:w="560" w:type="dxa"/>
            <w:vAlign w:val="bottom"/>
            <w:tcBorders>
              <w:top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983</w:t>
            </w:r>
          </w:p>
        </w:tc>
        <w:tc>
          <w:tcPr>
            <w:tcW w:w="10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905</w:t>
            </w:r>
          </w:p>
        </w:tc>
      </w:tr>
      <w:tr>
        <w:trPr>
          <w:trHeight w:val="250"/>
        </w:trPr>
        <w:tc>
          <w:tcPr>
            <w:tcW w:w="8140" w:type="dxa"/>
            <w:vAlign w:val="bottom"/>
          </w:tcPr>
          <w:p>
            <w:pPr>
              <w:ind w:left="20"/>
              <w:spacing w:after="0"/>
              <w:rPr>
                <w:sz w:val="20"/>
                <w:szCs w:val="20"/>
                <w:color w:val="auto"/>
              </w:rPr>
            </w:pPr>
            <w:r>
              <w:rPr>
                <w:rFonts w:ascii="Arial" w:cs="Arial" w:eastAsia="Arial" w:hAnsi="Arial"/>
                <w:sz w:val="17"/>
                <w:szCs w:val="17"/>
                <w:color w:val="auto"/>
              </w:rPr>
              <w:t>Retirement benefit liability</w:t>
            </w: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449</w:t>
            </w: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income tax payable</w:t>
            </w:r>
          </w:p>
        </w:tc>
        <w:tc>
          <w:tcPr>
            <w:tcW w:w="5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w:t>
            </w:r>
          </w:p>
        </w:tc>
      </w:tr>
      <w:tr>
        <w:trPr>
          <w:trHeight w:val="250"/>
        </w:trPr>
        <w:tc>
          <w:tcPr>
            <w:tcW w:w="8140" w:type="dxa"/>
            <w:vAlign w:val="bottom"/>
          </w:tcPr>
          <w:p>
            <w:pPr>
              <w:ind w:left="20"/>
              <w:spacing w:after="0"/>
              <w:rPr>
                <w:sz w:val="20"/>
                <w:szCs w:val="20"/>
                <w:color w:val="auto"/>
              </w:rPr>
            </w:pPr>
            <w:r>
              <w:rPr>
                <w:rFonts w:ascii="Arial" w:cs="Arial" w:eastAsia="Arial" w:hAnsi="Arial"/>
                <w:sz w:val="17"/>
                <w:szCs w:val="17"/>
                <w:color w:val="auto"/>
              </w:rPr>
              <w:t>Contingent acquisition milestone liability</w:t>
            </w:r>
          </w:p>
        </w:tc>
        <w:tc>
          <w:tcPr>
            <w:tcW w:w="56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413</w:t>
            </w: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5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r>
      <w:tr>
        <w:trPr>
          <w:trHeight w:val="223"/>
        </w:trPr>
        <w:tc>
          <w:tcPr>
            <w:tcW w:w="8140" w:type="dxa"/>
            <w:vAlign w:val="bottom"/>
          </w:tcPr>
          <w:p>
            <w:pPr>
              <w:ind w:left="140"/>
              <w:spacing w:after="0"/>
              <w:rPr>
                <w:sz w:val="20"/>
                <w:szCs w:val="20"/>
                <w:color w:val="auto"/>
              </w:rPr>
            </w:pPr>
            <w:r>
              <w:rPr>
                <w:rFonts w:ascii="Arial" w:cs="Arial" w:eastAsia="Arial" w:hAnsi="Arial"/>
                <w:sz w:val="17"/>
                <w:szCs w:val="17"/>
                <w:color w:val="auto"/>
              </w:rPr>
              <w:t>Total other liabilities</w:t>
            </w:r>
          </w:p>
        </w:tc>
        <w:tc>
          <w:tcPr>
            <w:tcW w:w="5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2,412</w:t>
            </w:r>
          </w:p>
        </w:tc>
      </w:tr>
      <w:tr>
        <w:trPr>
          <w:trHeight w:val="20"/>
        </w:trPr>
        <w:tc>
          <w:tcPr>
            <w:tcW w:w="8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leases its offices and data center hosting space at various locations under noncancelable operating lease agreements expiring at various dates through 2032. Under the terms of these agreements, the Company also bears the costs for certain insurance, property tax, and maintenance. The terms of certain lease agreements provide for increasing rental payments at fixed intervals.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Total operating lease related costs were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25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r>
      <w:tr>
        <w:trPr>
          <w:trHeight w:val="209"/>
        </w:trPr>
        <w:tc>
          <w:tcPr>
            <w:tcW w:w="81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8"/>
                <w:szCs w:val="18"/>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1,137</w:t>
            </w:r>
          </w:p>
        </w:tc>
      </w:tr>
      <w:tr>
        <w:trPr>
          <w:trHeight w:val="22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Short-term lease cost</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w:t>
            </w:r>
          </w:p>
        </w:tc>
      </w:tr>
      <w:tr>
        <w:trPr>
          <w:trHeight w:val="250"/>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lease cost</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weighted-average remaining term of the Company’s operating leases was 3.9 years and 4.8 years as of December 31, 2024, and 2023, respectively, and the weighted-average discount rate used to measure the present value of the operating lease liabilities was 10.0% as of both December 31, 2024, and 2023. Cash payments made related to operating lease liabilities were $1.2 million and $1.0 million for the years ended December 31, 2024, and 2023, respectively.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40" w:type="dxa"/>
            <w:vAlign w:val="bottom"/>
          </w:tcPr>
          <w:p>
            <w:pPr>
              <w:spacing w:after="0"/>
              <w:rPr>
                <w:sz w:val="20"/>
                <w:szCs w:val="20"/>
                <w:color w:val="auto"/>
              </w:rPr>
            </w:pPr>
            <w:r>
              <w:rPr>
                <w:rFonts w:ascii="Arial" w:cs="Arial" w:eastAsia="Arial" w:hAnsi="Arial"/>
                <w:sz w:val="17"/>
                <w:szCs w:val="17"/>
                <w:color w:val="auto"/>
              </w:rPr>
              <w:t>Maturities of operating lease liabilities as of December 31, 2024, were as follows (in thousands):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1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Fiscal year ending December 31,</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Amount</w:t>
            </w:r>
          </w:p>
        </w:tc>
      </w:tr>
      <w:tr>
        <w:trPr>
          <w:trHeight w:val="225"/>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1,253</w:t>
            </w:r>
          </w:p>
        </w:tc>
      </w:tr>
      <w:tr>
        <w:trPr>
          <w:trHeight w:val="227"/>
        </w:trPr>
        <w:tc>
          <w:tcPr>
            <w:tcW w:w="9740" w:type="dxa"/>
            <w:vAlign w:val="bottom"/>
          </w:tcPr>
          <w:p>
            <w:pPr>
              <w:ind w:left="20"/>
              <w:spacing w:after="0"/>
              <w:rPr>
                <w:sz w:val="20"/>
                <w:szCs w:val="20"/>
                <w:color w:val="auto"/>
              </w:rPr>
            </w:pPr>
            <w:r>
              <w:rPr>
                <w:rFonts w:ascii="Arial" w:cs="Arial" w:eastAsia="Arial" w:hAnsi="Arial"/>
                <w:sz w:val="17"/>
                <w:szCs w:val="17"/>
                <w:color w:val="auto"/>
              </w:rPr>
              <w:t>2026</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1,210</w:t>
            </w:r>
          </w:p>
        </w:tc>
      </w:tr>
      <w:tr>
        <w:trPr>
          <w:trHeight w:val="232"/>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w:t>
            </w:r>
          </w:p>
        </w:tc>
      </w:tr>
      <w:tr>
        <w:trPr>
          <w:trHeight w:val="227"/>
        </w:trPr>
        <w:tc>
          <w:tcPr>
            <w:tcW w:w="9740" w:type="dxa"/>
            <w:vAlign w:val="bottom"/>
          </w:tcPr>
          <w:p>
            <w:pPr>
              <w:ind w:left="20"/>
              <w:spacing w:after="0"/>
              <w:rPr>
                <w:sz w:val="20"/>
                <w:szCs w:val="20"/>
                <w:color w:val="auto"/>
              </w:rPr>
            </w:pPr>
            <w:r>
              <w:rPr>
                <w:rFonts w:ascii="Arial" w:cs="Arial" w:eastAsia="Arial" w:hAnsi="Arial"/>
                <w:sz w:val="17"/>
                <w:szCs w:val="17"/>
                <w:color w:val="auto"/>
              </w:rPr>
              <w:t>2028</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819</w:t>
            </w:r>
          </w:p>
        </w:tc>
      </w:tr>
      <w:tr>
        <w:trPr>
          <w:trHeight w:val="232"/>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2029</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r>
      <w:tr>
        <w:trPr>
          <w:trHeight w:val="22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w:t>
            </w:r>
          </w:p>
        </w:tc>
      </w:tr>
      <w:tr>
        <w:trPr>
          <w:trHeight w:val="225"/>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undiscounted cash flows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4,734</w:t>
            </w:r>
          </w:p>
        </w:tc>
      </w:tr>
      <w:tr>
        <w:trPr>
          <w:trHeight w:val="22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(819)</w:t>
            </w:r>
          </w:p>
        </w:tc>
      </w:tr>
      <w:tr>
        <w:trPr>
          <w:trHeight w:val="250"/>
        </w:trPr>
        <w:tc>
          <w:tcPr>
            <w:tcW w:w="9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Present value of lease liabilities</w:t>
            </w: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3,915</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current</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w:t>
            </w:r>
          </w:p>
        </w:tc>
      </w:tr>
      <w:tr>
        <w:trPr>
          <w:trHeight w:val="22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lease liabilities, noncurrent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2,998</w:t>
            </w:r>
          </w:p>
        </w:tc>
      </w:tr>
      <w:tr>
        <w:trPr>
          <w:trHeight w:val="250"/>
        </w:trPr>
        <w:tc>
          <w:tcPr>
            <w:tcW w:w="9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lease liabilities</w:t>
            </w: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3,915</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BORROWINGS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Vendor financing arrangements</w:t>
      </w:r>
      <w:r>
        <w:rPr>
          <w:rFonts w:ascii="Arial" w:cs="Arial" w:eastAsia="Arial" w:hAnsi="Arial"/>
          <w:sz w:val="17"/>
          <w:szCs w:val="17"/>
          <w:color w:val="auto"/>
        </w:rPr>
        <w:t>—The Company has various vendor financing arrangements with extended payment terms on the purchase of</w:t>
      </w:r>
      <w:r>
        <w:rPr>
          <w:rFonts w:ascii="Arial" w:cs="Arial" w:eastAsia="Arial" w:hAnsi="Arial"/>
          <w:sz w:val="17"/>
          <w:szCs w:val="17"/>
          <w:b w:val="1"/>
          <w:bCs w:val="1"/>
          <w:color w:val="auto"/>
        </w:rPr>
        <w:t xml:space="preserve"> </w:t>
      </w:r>
      <w:r>
        <w:rPr>
          <w:rFonts w:ascii="Arial" w:cs="Arial" w:eastAsia="Arial" w:hAnsi="Arial"/>
          <w:sz w:val="17"/>
          <w:szCs w:val="17"/>
          <w:color w:val="auto"/>
        </w:rPr>
        <w:t>software licenses and equipment. In order to determine the present value of the commitments, the Company used an imputed interest rate of 10.0%, which is an estimate based on the Company’s collateralized borrowing rate.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40" w:type="dxa"/>
            <w:vAlign w:val="bottom"/>
          </w:tcPr>
          <w:p>
            <w:pPr>
              <w:spacing w:after="0"/>
              <w:rPr>
                <w:sz w:val="20"/>
                <w:szCs w:val="20"/>
                <w:color w:val="auto"/>
              </w:rPr>
            </w:pPr>
            <w:r>
              <w:rPr>
                <w:rFonts w:ascii="Arial" w:cs="Arial" w:eastAsia="Arial" w:hAnsi="Arial"/>
                <w:sz w:val="17"/>
                <w:szCs w:val="17"/>
                <w:color w:val="auto"/>
              </w:rPr>
              <w:t>Expected cash flows related to vendor financing arrangements as of December 31, 2024, were as follows (in thousands):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89"/>
        </w:trPr>
        <w:tc>
          <w:tcPr>
            <w:tcW w:w="9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Fiscal year ending December 31,</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rPr>
              <w:t>Amount</w:t>
            </w:r>
          </w:p>
        </w:tc>
      </w:tr>
      <w:tr>
        <w:trPr>
          <w:trHeight w:val="221"/>
        </w:trPr>
        <w:tc>
          <w:tcPr>
            <w:tcW w:w="9740" w:type="dxa"/>
            <w:vAlign w:val="bottom"/>
          </w:tcPr>
          <w:p>
            <w:pPr>
              <w:ind w:left="20"/>
              <w:spacing w:after="0"/>
              <w:rPr>
                <w:sz w:val="20"/>
                <w:szCs w:val="20"/>
                <w:color w:val="auto"/>
              </w:rPr>
            </w:pPr>
            <w:r>
              <w:rPr>
                <w:rFonts w:ascii="Arial" w:cs="Arial" w:eastAsia="Arial" w:hAnsi="Arial"/>
                <w:sz w:val="17"/>
                <w:szCs w:val="17"/>
                <w:color w:val="auto"/>
              </w:rPr>
              <w:t>2025</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1,482</w:t>
            </w:r>
          </w:p>
        </w:tc>
      </w:tr>
      <w:tr>
        <w:trPr>
          <w:trHeight w:val="232"/>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w:t>
            </w:r>
          </w:p>
        </w:tc>
      </w:tr>
      <w:tr>
        <w:trPr>
          <w:trHeight w:val="221"/>
        </w:trPr>
        <w:tc>
          <w:tcPr>
            <w:tcW w:w="9740" w:type="dxa"/>
            <w:vAlign w:val="bottom"/>
          </w:tcPr>
          <w:p>
            <w:pPr>
              <w:ind w:left="20"/>
              <w:spacing w:after="0"/>
              <w:rPr>
                <w:sz w:val="20"/>
                <w:szCs w:val="20"/>
                <w:color w:val="auto"/>
              </w:rPr>
            </w:pPr>
            <w:r>
              <w:rPr>
                <w:rFonts w:ascii="Arial" w:cs="Arial" w:eastAsia="Arial" w:hAnsi="Arial"/>
                <w:sz w:val="17"/>
                <w:szCs w:val="17"/>
                <w:color w:val="auto"/>
              </w:rPr>
              <w:t>Total undiscounted cash flows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2,223</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Imputed interest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w:t>
            </w:r>
          </w:p>
        </w:tc>
      </w:tr>
      <w:tr>
        <w:trPr>
          <w:trHeight w:val="225"/>
        </w:trPr>
        <w:tc>
          <w:tcPr>
            <w:tcW w:w="9740" w:type="dxa"/>
            <w:vAlign w:val="bottom"/>
          </w:tcPr>
          <w:p>
            <w:pPr>
              <w:ind w:left="20"/>
              <w:spacing w:after="0"/>
              <w:rPr>
                <w:sz w:val="20"/>
                <w:szCs w:val="20"/>
                <w:color w:val="auto"/>
              </w:rPr>
            </w:pPr>
            <w:r>
              <w:rPr>
                <w:rFonts w:ascii="Arial" w:cs="Arial" w:eastAsia="Arial" w:hAnsi="Arial"/>
                <w:sz w:val="17"/>
                <w:szCs w:val="17"/>
                <w:color w:val="auto"/>
              </w:rPr>
              <w:t>Present value of vendor financing arrangements</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2,076</w:t>
            </w:r>
          </w:p>
        </w:tc>
      </w:tr>
      <w:tr>
        <w:trPr>
          <w:trHeight w:val="20"/>
        </w:trPr>
        <w:tc>
          <w:tcPr>
            <w:tcW w:w="9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9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7"/>
        </w:trPr>
        <w:tc>
          <w:tcPr>
            <w:tcW w:w="9740" w:type="dxa"/>
            <w:vAlign w:val="bottom"/>
          </w:tcPr>
          <w:p>
            <w:pPr>
              <w:ind w:left="20"/>
              <w:spacing w:after="0"/>
              <w:rPr>
                <w:sz w:val="20"/>
                <w:szCs w:val="20"/>
                <w:color w:val="auto"/>
              </w:rPr>
            </w:pPr>
            <w:r>
              <w:rPr>
                <w:rFonts w:ascii="Arial" w:cs="Arial" w:eastAsia="Arial" w:hAnsi="Arial"/>
                <w:sz w:val="17"/>
                <w:szCs w:val="17"/>
                <w:color w:val="auto"/>
              </w:rPr>
              <w:t>Vendor financing arrangements, current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1,482</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Vendor financing arrangements, noncurrent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w:t>
            </w:r>
          </w:p>
        </w:tc>
      </w:tr>
      <w:tr>
        <w:trPr>
          <w:trHeight w:val="223"/>
        </w:trPr>
        <w:tc>
          <w:tcPr>
            <w:tcW w:w="9740" w:type="dxa"/>
            <w:vAlign w:val="bottom"/>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2,076</w:t>
            </w:r>
          </w:p>
        </w:tc>
      </w:tr>
      <w:tr>
        <w:trPr>
          <w:trHeight w:val="23"/>
        </w:trPr>
        <w:tc>
          <w:tcPr>
            <w:tcW w:w="9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from vendor financing arrangements was $0.2 million for both the years ended December 31, 2024, and 2023.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Letter of Credit—</w:t>
      </w:r>
      <w:r>
        <w:rPr>
          <w:rFonts w:ascii="Arial" w:cs="Arial" w:eastAsia="Arial" w:hAnsi="Arial"/>
          <w:sz w:val="17"/>
          <w:szCs w:val="17"/>
          <w:color w:val="auto"/>
        </w:rPr>
        <w:t>In conjunction with the execution of the operating lease for the Company’s new headquarters facility, a letter of credit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amount of $0.4 million was issued and outstanding as of both December 31, 2024, and 2023. No draws have been made under such letter of credit.</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auto"/>
        </w:rPr>
        <w:t>Indemnifications</w:t>
      </w:r>
      <w:r>
        <w:rPr>
          <w:rFonts w:ascii="Arial" w:cs="Arial" w:eastAsia="Arial" w:hAnsi="Arial"/>
          <w:sz w:val="17"/>
          <w:szCs w:val="17"/>
          <w:color w:val="auto"/>
        </w:rPr>
        <w:t>—The Company sometimes enters into limited indemnification provisions in license agreements in the ordinary course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licensing business. Pursuant to these provisions, which are often inserted into license agreements in the semiconductor IP and software licensing industries, the Company agrees to indemnify, hold harmless, and reimburse the indemnified parties up to a capped amount for losses suffered or incurred by such indemnified parties due to third-party claims if such claims are determined to be caused by the Company. The term of these indemnification provisions is generally either for a term of years or perpetual, in each case beginning on the execution date of the agreement. The Company has also agreed to indemnify under indemnity agreements with its directors and officers, to the extent legally permissible, against liabilities incurred in connection with any action in which such individual may be involved by reason of such individual being or having been a director or officer, other than certain liabilities arising from willful misconduct of the individual.</w:t>
      </w:r>
    </w:p>
    <w:p>
      <w:pPr>
        <w:spacing w:after="0" w:line="12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has incurred no actual payment obligations from these above-noted indemnification provisions and director and officer indemnity agreements during 2024 and 2023, and the consolidated financial statements do not include liabilities for any potential indemnity-related obligations as of December 31, 2024, and 2023.</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w:t>
      </w:r>
      <w:r>
        <w:rPr>
          <w:rFonts w:ascii="Arial" w:cs="Arial" w:eastAsia="Arial" w:hAnsi="Arial"/>
          <w:sz w:val="17"/>
          <w:szCs w:val="17"/>
          <w:color w:val="auto"/>
        </w:rPr>
        <w:t>—The Company has been and will continue to be subject to legal proceedings and claims.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In the normal course of business, the Company may receive inquiries or become involved in legal disputes regarding such litigation matters. The resolution of these matters often develops over time and expectations can change as a result of new findings, rulings, appeals or settlement arrangements. These matters are subject to inherent uncertainties and management’s view of these matters may change in the future. Pursuant to ASC 450, </w:t>
      </w:r>
      <w:r>
        <w:rPr>
          <w:rFonts w:ascii="Arial" w:cs="Arial" w:eastAsia="Arial" w:hAnsi="Arial"/>
          <w:sz w:val="17"/>
          <w:szCs w:val="17"/>
          <w:i w:val="1"/>
          <w:iCs w:val="1"/>
          <w:color w:val="auto"/>
        </w:rPr>
        <w:t>Contingencies</w:t>
      </w:r>
      <w:r>
        <w:rPr>
          <w:rFonts w:ascii="Arial" w:cs="Arial" w:eastAsia="Arial" w:hAnsi="Arial"/>
          <w:sz w:val="17"/>
          <w:szCs w:val="17"/>
          <w:color w:val="auto"/>
        </w:rPr>
        <w:t>, the Company makes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Significant judgement is required in both the determination of probability and determination as to whether a loss is reasonably estimable. Intellectual property claims are inherently unpredictable and may have a material adverse effect on the Company’s financial position, results of operations, or cash flows. Due to the inherent uncertainties and complex technical issues arising from this or any intellectual property litigation, the Company cannot predict or guarantee any result of, and cannot reasonably estimate liability if any, or range of loss that could result from such intellectual property litigation. Future revisions to such estimates could materially impact the Company’s results.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December 2022, the Company received notice of a complaint filed against the Company and another defendant in the semiconductor industry, by Network System Technologies, LLC (NST) in the United States District Court for the Western District of Texas. Additional complaints were filed in the Eastern District of Texas against certain companies, including some customers of the Company, asserting among other things patent infringement seeking damages and injunctive relief. On September 4, 2024, the court in the Western District of Texas dismissed all claims against the Company without prejudice. The court will maintain jurisdiction solely for the purpose of enforcing discovery. The Company has not received any new claims involving the Company nor any new customer indemnity claims in connection with the NST litigation. The Company will continue to monitor this matter.</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 material contractual noncancelable commitments as of December 31, 2024 and 2023.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 AND STOCKHOLDERS’ EQUITY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Holders of common stock are entitled to one vote per share and to receive dividends and, upon liquidation or dissolution, are entitled to receive all assets available for distribution to common stockholders. The common stock has no preemptive or other subscription rights and there are no redemption or sinking fund provisions with respect to such shares. Common stock is subordinate to the preferred stock with respect to dividend rights and rights upon liquidation, winding-up, and dissolution of the Company. In connection with its Initial Public Offering in October 2021, the Company amended and restated its certificate of incorporation to authorize 300,000,000 shares of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There were no repurchased shares for the years ended December 31, 2024, and 2023.</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2016 Stock Plan</w:t>
      </w:r>
    </w:p>
    <w:p>
      <w:pPr>
        <w:spacing w:after="0" w:line="169"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On October 10, 2016, the Company amended and restated the 2013 Equity Incentive Plan and changed the name of the plan to Arteris, Inc. 2016 Incentive Plan (the 2016 Plan). Adoption of the 2016 Plan provides for participation by foreign nationals or those employed outside of the United States.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2016 Plan provides for the granting of the following types of stock awards: incentive stock options, non-statutory stock options, stock appreciation rights (SARs), restricted stock awards, RSU awards and other stock awards. The number of shares authorized for award was 20,803,838. The Company granted awards of common stock in the form of 14,142,208 shares as of December 31, 2021. Following the Company’s IPO in October 2021, all future grants will be made under the 2021 Plan (as defined below), with none remaining available for future grants under the 2016 Plan.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Stock Plan</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adopted the 2021 Incentive Award Plan (the 2021 Plan) effective October 26, 2021. The 2021 Plan provides for a variety of stock-based compensation awards, including stock options, SARs, restricted stock awards, RSUs, performance bonus awards, performance stock unit awards, dividend equivalents, or other stock or cash-based awards.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Following the effectiveness of the 2021 Plan, the Company will not make any further grants under the 2016 Plan. However, the 2016 Plan will continue to govern the terms and conditions of the outstanding awards granted under this plan. Shares of common stock subject to awards granted under the 2016 Plan that are forfeited or lapse unexercised and withheld to cover taxes which following the effective date of the 2021 Plan are not issued under the 2016 Plan will be available for issuance under the 2021 Plan.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2022 Employment Inducement Incentive Plan</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adopted the 2022 Employment Inducement Incentive Plan (the 2022 Inducement Plan) effective November 3, 2022, pursuant to which it reserved 2,000,000 shares of its common stock. The 2022 Inducement Plan provides for a variety of stock-based compensation awards, including stock options, SARs, restricted stock awards, restricted stock unit awards, performance bonus awards, performance stock unit awards, dividend equivalents, or other stock or cash-based awards. Awards under the 2022 Inducement Plan can only be made to newly hired employees.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Available for Future Grant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Shares available for future grant consisted of the following: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060" w:type="dxa"/>
            <w:vAlign w:val="bottom"/>
            <w:tcBorders>
              <w:bottom w:val="single" w:sz="8" w:color="auto"/>
            </w:tcBorders>
            <w:gridSpan w:val="3"/>
          </w:tcPr>
          <w:p>
            <w:pPr>
              <w:jc w:val="right"/>
              <w:ind w:right="778"/>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3680" w:type="dxa"/>
            <w:vAlign w:val="bottom"/>
            <w:tcBorders>
              <w:bottom w:val="single" w:sz="8" w:color="CCEEFF"/>
            </w:tcBorders>
          </w:tcPr>
          <w:p>
            <w:pPr>
              <w:spacing w:after="0"/>
              <w:rPr>
                <w:sz w:val="18"/>
                <w:szCs w:val="18"/>
                <w:color w:val="auto"/>
              </w:rPr>
            </w:pPr>
          </w:p>
        </w:tc>
        <w:tc>
          <w:tcPr>
            <w:tcW w:w="45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r>
      <w:tr>
        <w:trPr>
          <w:trHeight w:val="224"/>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available for future grant under the 2021</w:t>
            </w:r>
          </w:p>
        </w:tc>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Plan</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3,139,086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3,230,183</w:t>
            </w:r>
          </w:p>
        </w:tc>
      </w:tr>
      <w:tr>
        <w:trPr>
          <w:trHeight w:val="227"/>
        </w:trPr>
        <w:tc>
          <w:tcPr>
            <w:tcW w:w="3680" w:type="dxa"/>
            <w:vAlign w:val="bottom"/>
          </w:tcPr>
          <w:p>
            <w:pPr>
              <w:ind w:left="20"/>
              <w:spacing w:after="0"/>
              <w:rPr>
                <w:sz w:val="20"/>
                <w:szCs w:val="20"/>
                <w:color w:val="auto"/>
              </w:rPr>
            </w:pPr>
            <w:r>
              <w:rPr>
                <w:rFonts w:ascii="Arial" w:cs="Arial" w:eastAsia="Arial" w:hAnsi="Arial"/>
                <w:sz w:val="17"/>
                <w:szCs w:val="17"/>
                <w:color w:val="auto"/>
              </w:rPr>
              <w:t>Shares available for future grant under the 2021</w:t>
            </w:r>
          </w:p>
        </w:tc>
        <w:tc>
          <w:tcPr>
            <w:tcW w:w="4500" w:type="dxa"/>
            <w:vAlign w:val="bottom"/>
          </w:tcPr>
          <w:p>
            <w:pPr>
              <w:ind w:left="20"/>
              <w:spacing w:after="0"/>
              <w:rPr>
                <w:sz w:val="20"/>
                <w:szCs w:val="20"/>
                <w:color w:val="auto"/>
              </w:rPr>
            </w:pPr>
            <w:r>
              <w:rPr>
                <w:rFonts w:ascii="Arial" w:cs="Arial" w:eastAsia="Arial" w:hAnsi="Arial"/>
                <w:sz w:val="17"/>
                <w:szCs w:val="17"/>
                <w:color w:val="auto"/>
              </w:rPr>
              <w:t>ESPP</w:t>
            </w:r>
          </w:p>
        </w:tc>
        <w:tc>
          <w:tcPr>
            <w:tcW w:w="1480" w:type="dxa"/>
            <w:vAlign w:val="bottom"/>
          </w:tcPr>
          <w:p>
            <w:pPr>
              <w:jc w:val="right"/>
              <w:spacing w:after="0"/>
              <w:rPr>
                <w:sz w:val="20"/>
                <w:szCs w:val="20"/>
                <w:color w:val="auto"/>
              </w:rPr>
            </w:pPr>
            <w:r>
              <w:rPr>
                <w:rFonts w:ascii="Arial" w:cs="Arial" w:eastAsia="Arial" w:hAnsi="Arial"/>
                <w:sz w:val="17"/>
                <w:szCs w:val="17"/>
                <w:color w:val="auto"/>
              </w:rPr>
              <w:t>1,564,147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1,268,564</w:t>
            </w:r>
          </w:p>
        </w:tc>
      </w:tr>
      <w:tr>
        <w:trPr>
          <w:trHeight w:val="232"/>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available for future grant under the 2022</w:t>
            </w:r>
          </w:p>
        </w:tc>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Inducement Plan</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995,117</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1,003,680</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Company issues new shares upon a share option exercise or release of restricted stock units.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stock option activities under the Company’s 2016 and 2021 Plan: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0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ind w:left="980"/>
              <w:spacing w:after="0"/>
              <w:rPr>
                <w:sz w:val="20"/>
                <w:szCs w:val="20"/>
                <w:color w:val="auto"/>
              </w:rPr>
            </w:pPr>
            <w:r>
              <w:rPr>
                <w:rFonts w:ascii="Arial" w:cs="Arial" w:eastAsia="Arial" w:hAnsi="Arial"/>
                <w:sz w:val="14"/>
                <w:szCs w:val="14"/>
                <w:b w:val="1"/>
                <w:bCs w:val="1"/>
                <w:color w:val="auto"/>
              </w:rPr>
              <w:t>Options Outstanding</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center"/>
              <w:ind w:left="346"/>
              <w:spacing w:after="0"/>
              <w:rPr>
                <w:sz w:val="20"/>
                <w:szCs w:val="20"/>
                <w:color w:val="auto"/>
              </w:rPr>
            </w:pPr>
            <w:r>
              <w:rPr>
                <w:rFonts w:ascii="Arial" w:cs="Arial" w:eastAsia="Arial" w:hAnsi="Arial"/>
                <w:sz w:val="14"/>
                <w:szCs w:val="14"/>
                <w:b w:val="1"/>
                <w:bCs w:val="1"/>
                <w:color w:val="auto"/>
              </w:rPr>
              <w:t>Weighted-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center"/>
              <w:ind w:left="308"/>
              <w:spacing w:after="0" w:line="143" w:lineRule="exact"/>
              <w:rPr>
                <w:sz w:val="20"/>
                <w:szCs w:val="20"/>
                <w:color w:val="auto"/>
              </w:rPr>
            </w:pPr>
            <w:r>
              <w:rPr>
                <w:rFonts w:ascii="Arial" w:cs="Arial" w:eastAsia="Arial" w:hAnsi="Arial"/>
                <w:sz w:val="14"/>
                <w:szCs w:val="14"/>
                <w:b w:val="1"/>
                <w:bCs w:val="1"/>
                <w:color w:val="auto"/>
              </w:rPr>
              <w:t>Weighted-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center"/>
              <w:ind w:left="308"/>
              <w:spacing w:after="0" w:line="135" w:lineRule="exact"/>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366"/>
              <w:spacing w:after="0" w:line="149" w:lineRule="exact"/>
              <w:rPr>
                <w:sz w:val="20"/>
                <w:szCs w:val="20"/>
                <w:color w:val="auto"/>
              </w:rPr>
            </w:pPr>
            <w:r>
              <w:rPr>
                <w:rFonts w:ascii="Arial" w:cs="Arial" w:eastAsia="Arial" w:hAnsi="Arial"/>
                <w:sz w:val="14"/>
                <w:szCs w:val="14"/>
                <w:b w:val="1"/>
                <w:bCs w:val="1"/>
                <w:color w:val="auto"/>
              </w:rPr>
              <w:t>Average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rPr>
              <w:t>Remaining</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5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160" w:type="dxa"/>
            <w:vAlign w:val="bottom"/>
          </w:tcPr>
          <w:p>
            <w:pPr>
              <w:jc w:val="center"/>
              <w:ind w:left="366"/>
              <w:spacing w:after="0" w:line="149" w:lineRule="exact"/>
              <w:rPr>
                <w:sz w:val="20"/>
                <w:szCs w:val="20"/>
                <w:color w:val="auto"/>
              </w:rPr>
            </w:pPr>
            <w:r>
              <w:rPr>
                <w:rFonts w:ascii="Arial" w:cs="Arial" w:eastAsia="Arial" w:hAnsi="Arial"/>
                <w:sz w:val="14"/>
                <w:szCs w:val="14"/>
                <w:b w:val="1"/>
                <w:bCs w:val="1"/>
                <w:color w:val="auto"/>
              </w:rPr>
              <w:t>Exercise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rPr>
              <w:t>Contractual</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rPr>
              <w:t>Values</w:t>
            </w:r>
          </w:p>
        </w:tc>
        <w:tc>
          <w:tcPr>
            <w:tcW w:w="0" w:type="dxa"/>
            <w:vAlign w:val="bottom"/>
          </w:tcPr>
          <w:p>
            <w:pPr>
              <w:spacing w:after="0"/>
              <w:rPr>
                <w:sz w:val="1"/>
                <w:szCs w:val="1"/>
                <w:color w:val="auto"/>
              </w:rPr>
            </w:pPr>
          </w:p>
        </w:tc>
      </w:tr>
      <w:tr>
        <w:trPr>
          <w:trHeight w:val="189"/>
        </w:trPr>
        <w:tc>
          <w:tcPr>
            <w:tcW w:w="45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66"/>
              <w:spacing w:after="0"/>
              <w:rPr>
                <w:sz w:val="20"/>
                <w:szCs w:val="20"/>
                <w:color w:val="auto"/>
              </w:rPr>
            </w:pPr>
            <w:r>
              <w:rPr>
                <w:rFonts w:ascii="Arial" w:cs="Arial" w:eastAsia="Arial" w:hAnsi="Arial"/>
                <w:sz w:val="14"/>
                <w:szCs w:val="14"/>
                <w:b w:val="1"/>
                <w:bCs w:val="1"/>
                <w:color w:val="auto"/>
              </w:rPr>
              <w:t>Price</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Term (Years)</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Balance—December 31, 2023</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2,841,764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66"/>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11,554</w:t>
            </w:r>
          </w:p>
        </w:tc>
        <w:tc>
          <w:tcPr>
            <w:tcW w:w="0" w:type="dxa"/>
            <w:vAlign w:val="bottom"/>
          </w:tcPr>
          <w:p>
            <w:pPr>
              <w:spacing w:after="0"/>
              <w:rPr>
                <w:sz w:val="1"/>
                <w:szCs w:val="1"/>
                <w:color w:val="auto"/>
              </w:rPr>
            </w:pPr>
          </w:p>
        </w:tc>
      </w:tr>
      <w:tr>
        <w:trPr>
          <w:trHeight w:val="227"/>
        </w:trPr>
        <w:tc>
          <w:tcPr>
            <w:tcW w:w="4500" w:type="dxa"/>
            <w:vAlign w:val="bottom"/>
          </w:tcPr>
          <w:p>
            <w:pPr>
              <w:ind w:left="240"/>
              <w:spacing w:after="0"/>
              <w:rPr>
                <w:sz w:val="20"/>
                <w:szCs w:val="20"/>
                <w:color w:val="auto"/>
              </w:rPr>
            </w:pPr>
            <w:r>
              <w:rPr>
                <w:rFonts w:ascii="Arial" w:cs="Arial" w:eastAsia="Arial" w:hAnsi="Arial"/>
                <w:sz w:val="17"/>
                <w:szCs w:val="17"/>
                <w:color w:val="auto"/>
              </w:rPr>
              <w:t>Granted</w:t>
            </w:r>
          </w:p>
        </w:tc>
        <w:tc>
          <w:tcPr>
            <w:tcW w:w="1580" w:type="dxa"/>
            <w:vAlign w:val="bottom"/>
          </w:tcPr>
          <w:p>
            <w:pPr>
              <w:jc w:val="right"/>
              <w:spacing w:after="0"/>
              <w:rPr>
                <w:sz w:val="20"/>
                <w:szCs w:val="20"/>
                <w:color w:val="auto"/>
              </w:rPr>
            </w:pPr>
            <w:r>
              <w:rPr>
                <w:rFonts w:ascii="Arial" w:cs="Arial" w:eastAsia="Arial" w:hAnsi="Arial"/>
                <w:sz w:val="17"/>
                <w:szCs w:val="17"/>
                <w:color w:val="auto"/>
              </w:rPr>
              <w:t>130,000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6.85</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(693,909)</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50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Canceled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(80,251)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5.34</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Balance—December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2,197,604</w:t>
            </w:r>
          </w:p>
        </w:tc>
        <w:tc>
          <w:tcPr>
            <w:tcW w:w="1260" w:type="dxa"/>
            <w:vAlign w:val="bottom"/>
            <w:tcBorders>
              <w:bottom w:val="single" w:sz="8" w:color="CCEEFF"/>
            </w:tcBorders>
            <w:gridSpan w:val="2"/>
            <w:shd w:val="clear" w:color="auto" w:fill="CCEEFF"/>
          </w:tcPr>
          <w:p>
            <w:pPr>
              <w:jc w:val="right"/>
              <w:ind w:right="966"/>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17,404</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tcPr>
          <w:p>
            <w:pPr>
              <w:ind w:left="20"/>
              <w:spacing w:after="0"/>
              <w:rPr>
                <w:sz w:val="20"/>
                <w:szCs w:val="20"/>
                <w:color w:val="auto"/>
              </w:rPr>
            </w:pPr>
            <w:r>
              <w:rPr>
                <w:rFonts w:ascii="Arial" w:cs="Arial" w:eastAsia="Arial" w:hAnsi="Arial"/>
                <w:sz w:val="17"/>
                <w:szCs w:val="17"/>
                <w:color w:val="auto"/>
              </w:rPr>
              <w:t>Options vested and exercisable—December 31, 2024</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1,903,854</w:t>
            </w:r>
          </w:p>
        </w:tc>
        <w:tc>
          <w:tcPr>
            <w:tcW w:w="1260" w:type="dxa"/>
            <w:vAlign w:val="bottom"/>
            <w:gridSpan w:val="2"/>
          </w:tcPr>
          <w:p>
            <w:pPr>
              <w:jc w:val="right"/>
              <w:ind w:right="966"/>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1.59</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4.95</w:t>
            </w:r>
          </w:p>
        </w:tc>
        <w:tc>
          <w:tcPr>
            <w:tcW w:w="80" w:type="dxa"/>
            <w:vAlign w:val="bottom"/>
          </w:tcPr>
          <w:p>
            <w:pPr>
              <w:spacing w:after="0"/>
              <w:rPr>
                <w:sz w:val="17"/>
                <w:szCs w:val="17"/>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
              <w:spacing w:after="0"/>
              <w:rPr>
                <w:sz w:val="20"/>
                <w:szCs w:val="20"/>
                <w:color w:val="auto"/>
              </w:rPr>
            </w:pPr>
            <w:r>
              <w:rPr>
                <w:rFonts w:ascii="Arial" w:cs="Arial" w:eastAsia="Arial" w:hAnsi="Arial"/>
                <w:sz w:val="17"/>
                <w:szCs w:val="17"/>
                <w:color w:val="auto"/>
              </w:rPr>
              <w:t>16,373</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vested and exercisable—December 31, 2023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2,351,656</w:t>
            </w:r>
          </w:p>
        </w:tc>
        <w:tc>
          <w:tcPr>
            <w:tcW w:w="1260" w:type="dxa"/>
            <w:vAlign w:val="bottom"/>
            <w:tcBorders>
              <w:bottom w:val="single" w:sz="8" w:color="CCEEFF"/>
            </w:tcBorders>
            <w:gridSpan w:val="2"/>
            <w:shd w:val="clear" w:color="auto" w:fill="CCEEFF"/>
          </w:tcPr>
          <w:p>
            <w:pPr>
              <w:jc w:val="right"/>
              <w:ind w:right="966"/>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10,844</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aggregate intrinsic value of the options exercised for the years ended December 31, 2024, and 2023 was $4.2 million and $5.0 million, respectively. The total grant-date fair value of options vested was $0.4 million for both the years ended December 31, 2024, and 2023.</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amount of cash received by the Company for the exercise of stock options was $0.9 million and $0.5 million for the years ended December 31, 2024, and 2023, respectively.</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December 31, 2024, there was $0.9 million of unamortized stock-based compensation cost related to unvested stock options, which is expected to be recognized over a weighted-average period of 2.9 years.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Stock options granted generally have a maximum term of ten years from the grant date and generally vest over a period of four years.</w:t>
      </w:r>
    </w:p>
    <w:p>
      <w:pPr>
        <w:spacing w:after="0" w:line="18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fair value of each stock option granted is estimated using the Black-Scholes option-pricing model. The Company determines valuation assumptions for Black-Scholes as follows:</w:t>
      </w:r>
    </w:p>
    <w:p>
      <w:pPr>
        <w:spacing w:after="0" w:line="104" w:lineRule="exact"/>
        <w:rPr>
          <w:sz w:val="20"/>
          <w:szCs w:val="20"/>
          <w:color w:val="auto"/>
        </w:rPr>
      </w:pPr>
    </w:p>
    <w:p>
      <w:pPr>
        <w:ind w:left="660" w:right="360"/>
        <w:spacing w:after="0" w:line="284" w:lineRule="auto"/>
        <w:rPr>
          <w:sz w:val="20"/>
          <w:szCs w:val="20"/>
          <w:color w:val="auto"/>
        </w:rPr>
      </w:pPr>
      <w:r>
        <w:rPr>
          <w:rFonts w:ascii="Arial" w:cs="Arial" w:eastAsia="Arial" w:hAnsi="Arial"/>
          <w:sz w:val="17"/>
          <w:szCs w:val="17"/>
          <w:b w:val="1"/>
          <w:bCs w:val="1"/>
          <w:i w:val="1"/>
          <w:iCs w:val="1"/>
          <w:color w:val="auto"/>
        </w:rPr>
        <w:t>Risk-Free Interest Rate</w:t>
      </w:r>
      <w:r>
        <w:rPr>
          <w:rFonts w:ascii="Arial" w:cs="Arial" w:eastAsia="Arial" w:hAnsi="Arial"/>
          <w:sz w:val="17"/>
          <w:szCs w:val="17"/>
          <w:color w:val="auto"/>
        </w:rPr>
        <w:t>—The Company bases the risk-free interest rate used in the Black-Scholes option-pricing model on the implied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yield available on US Treasury zero coupon issues with an equivalent expected term of the options for each option group.</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spacing w:after="0" w:line="266" w:lineRule="auto"/>
        <w:rPr>
          <w:sz w:val="20"/>
          <w:szCs w:val="20"/>
          <w:color w:val="auto"/>
        </w:rPr>
      </w:pPr>
      <w:r>
        <w:rPr>
          <w:rFonts w:ascii="Arial" w:cs="Arial" w:eastAsia="Arial" w:hAnsi="Arial"/>
          <w:sz w:val="17"/>
          <w:szCs w:val="17"/>
          <w:b w:val="1"/>
          <w:bCs w:val="1"/>
          <w:i w:val="1"/>
          <w:iCs w:val="1"/>
          <w:color w:val="auto"/>
        </w:rPr>
        <w:t>Expected Term</w:t>
      </w:r>
      <w:r>
        <w:rPr>
          <w:rFonts w:ascii="Arial" w:cs="Arial" w:eastAsia="Arial" w:hAnsi="Arial"/>
          <w:sz w:val="17"/>
          <w:szCs w:val="17"/>
          <w:color w:val="auto"/>
        </w:rPr>
        <w:t>—The expected term represents the period that the Company’s stock-based awards are expected to be outstanding.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expected term assumption is based on the simplified method. The Company expects to continue using the simplified method until sufficient information about the Company’s historical behavior is available.</w:t>
      </w:r>
    </w:p>
    <w:p>
      <w:pPr>
        <w:spacing w:after="0" w:line="133" w:lineRule="exact"/>
        <w:rPr>
          <w:sz w:val="20"/>
          <w:szCs w:val="20"/>
          <w:color w:val="auto"/>
        </w:rPr>
      </w:pPr>
    </w:p>
    <w:p>
      <w:pPr>
        <w:jc w:val="both"/>
        <w:ind w:left="660"/>
        <w:spacing w:after="0" w:line="284" w:lineRule="auto"/>
        <w:rPr>
          <w:sz w:val="20"/>
          <w:szCs w:val="20"/>
          <w:color w:val="auto"/>
        </w:rPr>
      </w:pPr>
      <w:r>
        <w:rPr>
          <w:rFonts w:ascii="Arial" w:cs="Arial" w:eastAsia="Arial" w:hAnsi="Arial"/>
          <w:sz w:val="17"/>
          <w:szCs w:val="17"/>
          <w:b w:val="1"/>
          <w:bCs w:val="1"/>
          <w:i w:val="1"/>
          <w:iCs w:val="1"/>
          <w:color w:val="auto"/>
        </w:rPr>
        <w:t>Volatility</w:t>
      </w:r>
      <w:r>
        <w:rPr>
          <w:rFonts w:ascii="Arial" w:cs="Arial" w:eastAsia="Arial" w:hAnsi="Arial"/>
          <w:sz w:val="17"/>
          <w:szCs w:val="17"/>
          <w:color w:val="auto"/>
        </w:rPr>
        <w:t>—The Company determines the price volatility factor based on the historical volatilities of the Company’s peer group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does not have sufficient trading history for its common stock.</w:t>
      </w:r>
    </w:p>
    <w:p>
      <w:pPr>
        <w:spacing w:after="0" w:line="104" w:lineRule="exact"/>
        <w:rPr>
          <w:sz w:val="20"/>
          <w:szCs w:val="20"/>
          <w:color w:val="auto"/>
        </w:rPr>
      </w:pPr>
    </w:p>
    <w:p>
      <w:pPr>
        <w:jc w:val="both"/>
        <w:ind w:left="660" w:right="20"/>
        <w:spacing w:after="0" w:line="284" w:lineRule="auto"/>
        <w:rPr>
          <w:sz w:val="20"/>
          <w:szCs w:val="20"/>
          <w:color w:val="auto"/>
        </w:rPr>
      </w:pPr>
      <w:r>
        <w:rPr>
          <w:rFonts w:ascii="Arial" w:cs="Arial" w:eastAsia="Arial" w:hAnsi="Arial"/>
          <w:sz w:val="17"/>
          <w:szCs w:val="17"/>
          <w:b w:val="1"/>
          <w:bCs w:val="1"/>
          <w:i w:val="1"/>
          <w:iCs w:val="1"/>
          <w:color w:val="auto"/>
        </w:rPr>
        <w:t>Dividend Yield</w:t>
      </w:r>
      <w:r>
        <w:rPr>
          <w:rFonts w:ascii="Arial" w:cs="Arial" w:eastAsia="Arial" w:hAnsi="Arial"/>
          <w:sz w:val="17"/>
          <w:szCs w:val="17"/>
          <w:color w:val="auto"/>
        </w:rPr>
        <w:t>—The Company has never declared or paid any cash dividend and does not currently plan to pay a cash dividend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foreseeable future. Consequently, the Company used an expected dividend yield of zero.</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Valuation Assumptions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valuation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60" w:type="dxa"/>
            <w:vAlign w:val="bottom"/>
          </w:tcPr>
          <w:p>
            <w:pPr>
              <w:spacing w:after="0"/>
              <w:rPr>
                <w:sz w:val="17"/>
                <w:szCs w:val="17"/>
                <w:color w:val="auto"/>
              </w:rPr>
            </w:pPr>
          </w:p>
        </w:tc>
        <w:tc>
          <w:tcPr>
            <w:tcW w:w="418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7060" w:type="dxa"/>
            <w:vAlign w:val="bottom"/>
            <w:tcBorders>
              <w:bottom w:val="single" w:sz="8" w:color="CCEEFF"/>
            </w:tcBorders>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r>
      <w:tr>
        <w:trPr>
          <w:trHeight w:val="224"/>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common stock</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$6.85</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$6.54</w:t>
            </w:r>
          </w:p>
        </w:tc>
      </w:tr>
      <w:tr>
        <w:trPr>
          <w:trHeight w:val="227"/>
        </w:trPr>
        <w:tc>
          <w:tcPr>
            <w:tcW w:w="706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2040" w:type="dxa"/>
            <w:vAlign w:val="bottom"/>
          </w:tcPr>
          <w:p>
            <w:pPr>
              <w:jc w:val="center"/>
              <w:spacing w:after="0"/>
              <w:rPr>
                <w:sz w:val="20"/>
                <w:szCs w:val="20"/>
                <w:color w:val="auto"/>
              </w:rPr>
            </w:pPr>
            <w:r>
              <w:rPr>
                <w:rFonts w:ascii="Arial" w:cs="Arial" w:eastAsia="Arial" w:hAnsi="Arial"/>
                <w:sz w:val="17"/>
                <w:szCs w:val="17"/>
                <w:color w:val="auto"/>
                <w:w w:val="99"/>
              </w:rPr>
              <w:t>50.2%</w:t>
            </w:r>
          </w:p>
        </w:tc>
        <w:tc>
          <w:tcPr>
            <w:tcW w:w="8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7"/>
                <w:szCs w:val="17"/>
                <w:color w:val="auto"/>
                <w:w w:val="99"/>
              </w:rPr>
              <w:t>44.0%</w:t>
            </w:r>
          </w:p>
        </w:tc>
      </w:tr>
      <w:tr>
        <w:trPr>
          <w:trHeight w:val="232"/>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6.1</w:t>
            </w:r>
          </w:p>
        </w:tc>
        <w:tc>
          <w:tcPr>
            <w:tcW w:w="80" w:type="dxa"/>
            <w:vAlign w:val="bottom"/>
            <w:shd w:val="clear" w:color="auto" w:fill="CCEEFF"/>
          </w:tcPr>
          <w:p>
            <w:pPr>
              <w:spacing w:after="0"/>
              <w:rPr>
                <w:sz w:val="20"/>
                <w:szCs w:val="20"/>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6.0</w:t>
            </w:r>
          </w:p>
        </w:tc>
      </w:tr>
      <w:tr>
        <w:trPr>
          <w:trHeight w:val="227"/>
        </w:trPr>
        <w:tc>
          <w:tcPr>
            <w:tcW w:w="706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2040" w:type="dxa"/>
            <w:vAlign w:val="bottom"/>
          </w:tcPr>
          <w:p>
            <w:pPr>
              <w:jc w:val="center"/>
              <w:spacing w:after="0"/>
              <w:rPr>
                <w:sz w:val="20"/>
                <w:szCs w:val="20"/>
                <w:color w:val="auto"/>
              </w:rPr>
            </w:pPr>
            <w:r>
              <w:rPr>
                <w:rFonts w:ascii="Arial" w:cs="Arial" w:eastAsia="Arial" w:hAnsi="Arial"/>
                <w:sz w:val="17"/>
                <w:szCs w:val="17"/>
                <w:color w:val="auto"/>
                <w:w w:val="97"/>
              </w:rPr>
              <w:t>3.8%</w:t>
            </w:r>
          </w:p>
        </w:tc>
        <w:tc>
          <w:tcPr>
            <w:tcW w:w="8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7"/>
                <w:szCs w:val="17"/>
                <w:color w:val="auto"/>
                <w:w w:val="97"/>
              </w:rPr>
              <w:t>3.9%</w:t>
            </w:r>
          </w:p>
        </w:tc>
      </w:tr>
      <w:tr>
        <w:trPr>
          <w:trHeight w:val="232"/>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dividend yield</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0%</w:t>
            </w:r>
          </w:p>
        </w:tc>
        <w:tc>
          <w:tcPr>
            <w:tcW w:w="80" w:type="dxa"/>
            <w:vAlign w:val="bottom"/>
            <w:shd w:val="clear" w:color="auto" w:fill="CCEEFF"/>
          </w:tcPr>
          <w:p>
            <w:pPr>
              <w:spacing w:after="0"/>
              <w:rPr>
                <w:sz w:val="20"/>
                <w:szCs w:val="20"/>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0%</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The Company granted 130,000 and 420,000 stock options during the years ended December 31, 2024, and 2023,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 and Awards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restricted stock unit activities under the Company’s 2016 and 2021 Plan and the 2022 Inducement Plan: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Pr>
          <w:p>
            <w:pPr>
              <w:spacing w:after="0"/>
              <w:rPr>
                <w:sz w:val="17"/>
                <w:szCs w:val="17"/>
                <w:color w:val="auto"/>
              </w:rPr>
            </w:pPr>
          </w:p>
        </w:tc>
        <w:tc>
          <w:tcPr>
            <w:tcW w:w="4520" w:type="dxa"/>
            <w:vAlign w:val="bottom"/>
            <w:tcBorders>
              <w:bottom w:val="single" w:sz="8" w:color="auto"/>
            </w:tcBorders>
            <w:gridSpan w:val="3"/>
          </w:tcPr>
          <w:p>
            <w:pPr>
              <w:jc w:val="right"/>
              <w:ind w:right="1424"/>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43"/>
        </w:trPr>
        <w:tc>
          <w:tcPr>
            <w:tcW w:w="6700" w:type="dxa"/>
            <w:vAlign w:val="bottom"/>
          </w:tcPr>
          <w:p>
            <w:pPr>
              <w:spacing w:after="0"/>
              <w:rPr>
                <w:sz w:val="12"/>
                <w:szCs w:val="12"/>
                <w:color w:val="auto"/>
              </w:rPr>
            </w:pPr>
          </w:p>
        </w:tc>
        <w:tc>
          <w:tcPr>
            <w:tcW w:w="220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2220" w:type="dxa"/>
            <w:vAlign w:val="bottom"/>
          </w:tcPr>
          <w:p>
            <w:pPr>
              <w:jc w:val="right"/>
              <w:ind w:right="24"/>
              <w:spacing w:after="0" w:line="143" w:lineRule="exact"/>
              <w:rPr>
                <w:sz w:val="20"/>
                <w:szCs w:val="20"/>
                <w:color w:val="auto"/>
              </w:rPr>
            </w:pPr>
            <w:r>
              <w:rPr>
                <w:rFonts w:ascii="Arial" w:cs="Arial" w:eastAsia="Arial" w:hAnsi="Arial"/>
                <w:sz w:val="14"/>
                <w:szCs w:val="14"/>
                <w:b w:val="1"/>
                <w:bCs w:val="1"/>
                <w:color w:val="auto"/>
              </w:rPr>
              <w:t>Weighted-Average Grant Date</w:t>
            </w: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Unvested—December 31, 2023</w:t>
            </w:r>
          </w:p>
        </w:tc>
        <w:tc>
          <w:tcPr>
            <w:tcW w:w="2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5,732,950</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6.56</w:t>
            </w:r>
          </w:p>
        </w:tc>
        <w:tc>
          <w:tcPr>
            <w:tcW w:w="0" w:type="dxa"/>
            <w:vAlign w:val="bottom"/>
          </w:tcPr>
          <w:p>
            <w:pPr>
              <w:spacing w:after="0"/>
              <w:rPr>
                <w:sz w:val="1"/>
                <w:szCs w:val="1"/>
                <w:color w:val="auto"/>
              </w:rPr>
            </w:pPr>
          </w:p>
        </w:tc>
      </w:tr>
      <w:tr>
        <w:trPr>
          <w:trHeight w:val="227"/>
        </w:trPr>
        <w:tc>
          <w:tcPr>
            <w:tcW w:w="6700" w:type="dxa"/>
            <w:vAlign w:val="bottom"/>
          </w:tcPr>
          <w:p>
            <w:pPr>
              <w:ind w:left="360"/>
              <w:spacing w:after="0"/>
              <w:rPr>
                <w:sz w:val="20"/>
                <w:szCs w:val="20"/>
                <w:color w:val="auto"/>
              </w:rPr>
            </w:pPr>
            <w:r>
              <w:rPr>
                <w:rFonts w:ascii="Arial" w:cs="Arial" w:eastAsia="Arial" w:hAnsi="Arial"/>
                <w:sz w:val="17"/>
                <w:szCs w:val="17"/>
                <w:color w:val="auto"/>
              </w:rPr>
              <w:t>Granted</w:t>
            </w:r>
          </w:p>
        </w:tc>
        <w:tc>
          <w:tcPr>
            <w:tcW w:w="2200" w:type="dxa"/>
            <w:vAlign w:val="bottom"/>
          </w:tcPr>
          <w:p>
            <w:pPr>
              <w:jc w:val="right"/>
              <w:spacing w:after="0"/>
              <w:rPr>
                <w:sz w:val="20"/>
                <w:szCs w:val="20"/>
                <w:color w:val="auto"/>
              </w:rPr>
            </w:pPr>
            <w:r>
              <w:rPr>
                <w:rFonts w:ascii="Arial" w:cs="Arial" w:eastAsia="Arial" w:hAnsi="Arial"/>
                <w:sz w:val="17"/>
                <w:szCs w:val="17"/>
                <w:color w:val="auto"/>
              </w:rPr>
              <w:t>2,631,881</w:t>
            </w:r>
          </w:p>
        </w:tc>
        <w:tc>
          <w:tcPr>
            <w:tcW w:w="2320" w:type="dxa"/>
            <w:vAlign w:val="bottom"/>
            <w:gridSpan w:val="2"/>
          </w:tcPr>
          <w:p>
            <w:pPr>
              <w:jc w:val="right"/>
              <w:ind w:right="4"/>
              <w:spacing w:after="0"/>
              <w:rPr>
                <w:sz w:val="20"/>
                <w:szCs w:val="20"/>
                <w:color w:val="auto"/>
              </w:rPr>
            </w:pPr>
            <w:r>
              <w:rPr>
                <w:rFonts w:ascii="Arial" w:cs="Arial" w:eastAsia="Arial" w:hAnsi="Arial"/>
                <w:sz w:val="17"/>
                <w:szCs w:val="17"/>
                <w:color w:val="auto"/>
              </w:rPr>
              <w:t>7.30</w:t>
            </w:r>
          </w:p>
        </w:tc>
        <w:tc>
          <w:tcPr>
            <w:tcW w:w="0" w:type="dxa"/>
            <w:vAlign w:val="bottom"/>
          </w:tcPr>
          <w:p>
            <w:pPr>
              <w:spacing w:after="0"/>
              <w:rPr>
                <w:sz w:val="1"/>
                <w:szCs w:val="1"/>
                <w:color w:val="auto"/>
              </w:rPr>
            </w:pPr>
          </w:p>
        </w:tc>
      </w:tr>
      <w:tr>
        <w:trPr>
          <w:trHeight w:val="232"/>
        </w:trPr>
        <w:tc>
          <w:tcPr>
            <w:tcW w:w="67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Vested</w:t>
            </w:r>
          </w:p>
        </w:tc>
        <w:tc>
          <w:tcPr>
            <w:tcW w:w="2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(2,432,842)</w:t>
            </w:r>
          </w:p>
        </w:tc>
        <w:tc>
          <w:tcPr>
            <w:tcW w:w="2320" w:type="dxa"/>
            <w:vAlign w:val="bottom"/>
            <w:gridSpan w:val="2"/>
            <w:shd w:val="clear" w:color="auto" w:fill="CCEEFF"/>
          </w:tcPr>
          <w:p>
            <w:pPr>
              <w:jc w:val="right"/>
              <w:ind w:right="4"/>
              <w:spacing w:after="0"/>
              <w:rPr>
                <w:sz w:val="20"/>
                <w:szCs w:val="20"/>
                <w:color w:val="auto"/>
              </w:rPr>
            </w:pPr>
            <w:r>
              <w:rPr>
                <w:rFonts w:ascii="Arial" w:cs="Arial" w:eastAsia="Arial" w:hAnsi="Arial"/>
                <w:sz w:val="17"/>
                <w:szCs w:val="17"/>
                <w:color w:val="auto"/>
              </w:rPr>
              <w:t>6.53</w:t>
            </w:r>
          </w:p>
        </w:tc>
        <w:tc>
          <w:tcPr>
            <w:tcW w:w="0" w:type="dxa"/>
            <w:vAlign w:val="bottom"/>
          </w:tcPr>
          <w:p>
            <w:pPr>
              <w:spacing w:after="0"/>
              <w:rPr>
                <w:sz w:val="1"/>
                <w:szCs w:val="1"/>
                <w:color w:val="auto"/>
              </w:rPr>
            </w:pPr>
          </w:p>
        </w:tc>
      </w:tr>
      <w:tr>
        <w:trPr>
          <w:trHeight w:val="227"/>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Canceled</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(706,041)</w:t>
            </w:r>
          </w:p>
        </w:tc>
        <w:tc>
          <w:tcPr>
            <w:tcW w:w="232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7"/>
                <w:szCs w:val="17"/>
                <w:color w:val="auto"/>
              </w:rPr>
              <w:t>6.21</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Unvested—December 31, 2024</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5,225,948</w:t>
            </w:r>
          </w:p>
        </w:tc>
        <w:tc>
          <w:tcPr>
            <w:tcW w:w="232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7"/>
                <w:szCs w:val="17"/>
                <w:color w:val="auto"/>
              </w:rPr>
              <w:t>7.00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total grant-date fair value of restricted stock units vested was $16.3 million and $15.0 million during the years ended December 31, 2024, and 2023, respectively.</w:t>
      </w:r>
    </w:p>
    <w:p>
      <w:pPr>
        <w:spacing w:after="0" w:line="11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As of December 31, 2024, there was $30.5 million of unamortized stock-based compensation cost related to unvested restricted stock units, which is expected to be recognized over a weighted-average period of 2.5 years.</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RSUs granted under the 2016 Stock Plan, they contain both a service-based vesting condition and a performance-based vesting condition. The service-based vesting condition for these awards is generally satisfied by rendering continuous service for approximately four years, during which time the grants will vest periodically. The performance-based vesting condition of certain awards was satisfied in connection with the Company becoming a publicly listed company or a change in control.</w:t>
      </w:r>
    </w:p>
    <w:p>
      <w:pPr>
        <w:spacing w:after="0" w:line="119"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For RSUs granted under the 2021 Stock Plan and 2022 Inducement Plan, they contain the service-based vesting condition for these awards, and it is generally satisfied by rendering continuous service typically satisfied over four years.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Common Stock</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connection with the acquisition of Semifore, Inc. (the Acquisition) in December 2022, the Company issued 331,574 shares of common stock, out of which 96,715 shares of common stock vested on the first anniversary of the closing of the Acquisition. The remaining 234,859 shares of common stock remain unvested as of December 31, 2024, and will vest on the third anniversary of the closing of the Acquisition contingent on the continued employment of certain key employees. These shares had a grant date fair value of $1.3 million based on the closing stock price on the acquisition date. The Company will recognize total compensation cost of $1.3 million to be amortized on a straight-line basis over the total vesting period of three years. As of December 31, 2024, the total unamortized compensation cost was $0.4 million.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Employee Stock Purchase Plan</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adopted the 2021 ESPP effective on October 26, 2021. The 2021 ESPP enables eligible employees of the Company to purchase shares of common stock at a discount to fair market value. The 2021 ESPP provides for six-month offering periods beginning May 22 and November 22 of each year, and each offering period consists of a six-month purchase period. The first offering period began May 22, 2024, and ended on November 21, 2024. During the year ended December 31, 2024, 79,602 shares were purchased under the 2021 ESPP.</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each purchase date, eligible employees purchase the shares at a price per share equal to 85% of the lesser of (1) the fair market value of our stock on the offering date or (2) the fair market value of our stock on the purchase date, subject to a cap of 3,000 shares on any purchase date, 6,000 shares in any calendar year, or $25,000 in any calendar year (as determined under applicable tax rules).</w:t>
      </w:r>
    </w:p>
    <w:p>
      <w:pPr>
        <w:spacing w:after="0" w:line="16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As of December 31, 2024, there was $0.2 million of unamortized stock-based compensation cost related to the 2021 ESPP, which is expected to be recognized over a weighted average period of 0.4 years.</w:t>
      </w:r>
    </w:p>
    <w:p>
      <w:pPr>
        <w:spacing w:after="0" w:line="104"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fair value of shares of common stock to be issued under the 2021 ESPP is estimated using the Black-Scholes option pricing model on the first day of the offering period. The Company determines valuation assumptions for Black-Scholes as follows:</w:t>
      </w:r>
    </w:p>
    <w:p>
      <w:pPr>
        <w:spacing w:after="0" w:line="118" w:lineRule="exact"/>
        <w:rPr>
          <w:sz w:val="20"/>
          <w:szCs w:val="20"/>
          <w:color w:val="auto"/>
        </w:rPr>
      </w:pPr>
    </w:p>
    <w:p>
      <w:pPr>
        <w:jc w:val="both"/>
        <w:ind w:left="260"/>
        <w:spacing w:after="0" w:line="284" w:lineRule="auto"/>
        <w:rPr>
          <w:sz w:val="20"/>
          <w:szCs w:val="20"/>
          <w:color w:val="auto"/>
        </w:rPr>
      </w:pPr>
      <w:r>
        <w:rPr>
          <w:rFonts w:ascii="Arial" w:cs="Arial" w:eastAsia="Arial" w:hAnsi="Arial"/>
          <w:sz w:val="17"/>
          <w:szCs w:val="17"/>
          <w:b w:val="1"/>
          <w:bCs w:val="1"/>
          <w:i w:val="1"/>
          <w:iCs w:val="1"/>
          <w:color w:val="auto"/>
        </w:rPr>
        <w:t>Risk-Free Interest Rate</w:t>
      </w:r>
      <w:r>
        <w:rPr>
          <w:rFonts w:ascii="Arial" w:cs="Arial" w:eastAsia="Arial" w:hAnsi="Arial"/>
          <w:sz w:val="17"/>
          <w:szCs w:val="17"/>
          <w:color w:val="auto"/>
        </w:rPr>
        <w:t>—The Company bases the risk-free interest rate used in the Black-Scholes option-pricing model on the implied yield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available on US Treasury zero coupon issues with an equivalent expected term of the options for each option group.</w:t>
      </w:r>
    </w:p>
    <w:p>
      <w:pPr>
        <w:spacing w:after="0" w:line="50" w:lineRule="exact"/>
        <w:rPr>
          <w:sz w:val="20"/>
          <w:szCs w:val="20"/>
          <w:color w:val="auto"/>
        </w:rPr>
      </w:pPr>
    </w:p>
    <w:p>
      <w:pPr>
        <w:jc w:val="both"/>
        <w:ind w:left="260"/>
        <w:spacing w:after="0" w:line="266" w:lineRule="auto"/>
        <w:rPr>
          <w:sz w:val="20"/>
          <w:szCs w:val="20"/>
          <w:color w:val="auto"/>
        </w:rPr>
      </w:pPr>
      <w:r>
        <w:rPr>
          <w:rFonts w:ascii="Arial" w:cs="Arial" w:eastAsia="Arial" w:hAnsi="Arial"/>
          <w:sz w:val="17"/>
          <w:szCs w:val="17"/>
          <w:b w:val="1"/>
          <w:bCs w:val="1"/>
          <w:i w:val="1"/>
          <w:iCs w:val="1"/>
          <w:color w:val="auto"/>
        </w:rPr>
        <w:t>Expected Term</w:t>
      </w:r>
      <w:r>
        <w:rPr>
          <w:rFonts w:ascii="Arial" w:cs="Arial" w:eastAsia="Arial" w:hAnsi="Arial"/>
          <w:sz w:val="17"/>
          <w:szCs w:val="17"/>
          <w:color w:val="auto"/>
        </w:rPr>
        <w:t>—The expected term represents the period that the Company’s stock-based awards are expected to be outstanding.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expected term assumption is based on the simplified method. The Company expects to continue using the simplified method until sufficient information about the Company’s historical behavior is available.</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Volatility</w:t>
      </w:r>
      <w:r>
        <w:rPr>
          <w:rFonts w:ascii="Arial" w:cs="Arial" w:eastAsia="Arial" w:hAnsi="Arial"/>
          <w:sz w:val="17"/>
          <w:szCs w:val="17"/>
          <w:color w:val="auto"/>
        </w:rPr>
        <w:t>—The Company determines the price volatility factor based on the historical volatility of the Company’s common stock.</w:t>
      </w:r>
    </w:p>
    <w:p>
      <w:pPr>
        <w:spacing w:after="0" w:line="115" w:lineRule="exact"/>
        <w:rPr>
          <w:sz w:val="20"/>
          <w:szCs w:val="20"/>
          <w:color w:val="auto"/>
        </w:rPr>
      </w:pPr>
    </w:p>
    <w:p>
      <w:pPr>
        <w:jc w:val="both"/>
        <w:ind w:left="260" w:right="20"/>
        <w:spacing w:after="0" w:line="284" w:lineRule="auto"/>
        <w:rPr>
          <w:sz w:val="20"/>
          <w:szCs w:val="20"/>
          <w:color w:val="auto"/>
        </w:rPr>
      </w:pPr>
      <w:r>
        <w:rPr>
          <w:rFonts w:ascii="Arial" w:cs="Arial" w:eastAsia="Arial" w:hAnsi="Arial"/>
          <w:sz w:val="17"/>
          <w:szCs w:val="17"/>
          <w:b w:val="1"/>
          <w:bCs w:val="1"/>
          <w:i w:val="1"/>
          <w:iCs w:val="1"/>
          <w:color w:val="auto"/>
        </w:rPr>
        <w:t>Dividend Yield</w:t>
      </w:r>
      <w:r>
        <w:rPr>
          <w:rFonts w:ascii="Arial" w:cs="Arial" w:eastAsia="Arial" w:hAnsi="Arial"/>
          <w:sz w:val="17"/>
          <w:szCs w:val="17"/>
          <w:color w:val="auto"/>
        </w:rPr>
        <w:t>—The Company has never declared or paid any cash dividend and does not currently plan to pay a cash dividend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foreseeable future. Consequently, the Company used an expected dividend yield of zero.</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ESPP valuation assumptions: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180" w:type="dxa"/>
            <w:vAlign w:val="bottom"/>
          </w:tcPr>
          <w:p>
            <w:pPr>
              <w:spacing w:after="0"/>
              <w:rPr>
                <w:sz w:val="17"/>
                <w:szCs w:val="17"/>
                <w:color w:val="auto"/>
              </w:rPr>
            </w:pPr>
          </w:p>
        </w:tc>
        <w:tc>
          <w:tcPr>
            <w:tcW w:w="20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918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2024</w:t>
            </w:r>
          </w:p>
        </w:tc>
      </w:tr>
      <w:tr>
        <w:trPr>
          <w:trHeight w:val="231"/>
        </w:trPr>
        <w:tc>
          <w:tcPr>
            <w:tcW w:w="9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2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65.1%</w:t>
            </w:r>
          </w:p>
        </w:tc>
      </w:tr>
      <w:tr>
        <w:trPr>
          <w:trHeight w:val="227"/>
        </w:trPr>
        <w:tc>
          <w:tcPr>
            <w:tcW w:w="918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2060" w:type="dxa"/>
            <w:vAlign w:val="bottom"/>
          </w:tcPr>
          <w:p>
            <w:pPr>
              <w:jc w:val="center"/>
              <w:spacing w:after="0"/>
              <w:rPr>
                <w:sz w:val="20"/>
                <w:szCs w:val="20"/>
                <w:color w:val="auto"/>
              </w:rPr>
            </w:pPr>
            <w:r>
              <w:rPr>
                <w:rFonts w:ascii="Arial" w:cs="Arial" w:eastAsia="Arial" w:hAnsi="Arial"/>
                <w:sz w:val="17"/>
                <w:szCs w:val="17"/>
                <w:color w:val="auto"/>
              </w:rPr>
              <w:t>0.5</w:t>
            </w:r>
          </w:p>
        </w:tc>
      </w:tr>
      <w:tr>
        <w:trPr>
          <w:trHeight w:val="232"/>
        </w:trPr>
        <w:tc>
          <w:tcPr>
            <w:tcW w:w="9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2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4.9%</w:t>
            </w:r>
          </w:p>
        </w:tc>
      </w:tr>
      <w:tr>
        <w:trPr>
          <w:trHeight w:val="225"/>
        </w:trPr>
        <w:tc>
          <w:tcPr>
            <w:tcW w:w="918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2060" w:type="dxa"/>
            <w:vAlign w:val="bottom"/>
          </w:tcPr>
          <w:p>
            <w:pPr>
              <w:jc w:val="center"/>
              <w:spacing w:after="0"/>
              <w:rPr>
                <w:sz w:val="20"/>
                <w:szCs w:val="20"/>
                <w:color w:val="auto"/>
              </w:rPr>
            </w:pPr>
            <w:r>
              <w:rPr>
                <w:rFonts w:ascii="Arial" w:cs="Arial" w:eastAsia="Arial" w:hAnsi="Arial"/>
                <w:sz w:val="17"/>
                <w:szCs w:val="17"/>
                <w:color w:val="auto"/>
                <w:w w:val="97"/>
              </w:rPr>
              <w:t>0%</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Stock-based compensation expense is recorded on a departmental basis, based on the classification of the award holder. The following table presents the amount of stock-based compensation related to stock-based awards to employees on the Company’s consolidated statements of operations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7,509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7,324</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2,712</w:t>
            </w:r>
          </w:p>
        </w:tc>
      </w:tr>
      <w:tr>
        <w:trPr>
          <w:trHeight w:val="22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3,943</w:t>
            </w:r>
          </w:p>
        </w:tc>
      </w:tr>
      <w:tr>
        <w:trPr>
          <w:trHeight w:val="250"/>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stock-based compensation</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14,535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During the years ended December 31, 2024, and 2023, the Company recognized $0.5 million and $0.4 million as stock-based compensation expense for common stock issued as part of the Semifore Acquisition, respectively.</w:t>
      </w:r>
    </w:p>
    <w:p>
      <w:pPr>
        <w:spacing w:after="0" w:line="172"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EQUITY METHOD INVESTMENT</w:t>
      </w:r>
    </w:p>
    <w:p>
      <w:pPr>
        <w:spacing w:after="0" w:line="169"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On February 21, 2022, Arteris IP (Hong Kong) Ltd. (AHK), a wholly owned subsidiary of the Company, entered into a Share Purchase and Shareholders Agreement (the SPA) with certain investors and Ningbo Transchip Information Consulting Partnership (Limited Partnership) (Management Co). The transaction closed on June 20, 2022.</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subscribed for the registered capital of approximately $11.9 million, of which $11.6 million of the contribution was contributed in-kind by way of an interconnect solutions technology license by the Company pursuant to a five-year technology license and services agreement which can be extended automatically for another five-year term, and the remaining was paid in cash. Following the consummation of the foregoing transactions, the Company held 40.3% common stock of Transchip on a fully diluted basis.</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license agreement provides Transchip the right to software licenses, services, software updates and technical support. On the closing date, the license agreement including the support and maintenance services to be provided to Transchip was valued to be $11.6 million, which was recorded as deferred income and will be recognized as other income (expense), net over a period of ten years on a straight-line basis after delivery of the license. The license was delivered to Transchip on September 2, 2022. For the year ended December 31, 2024, the Company recognized income of $1.2 million for the license agreement.</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ownership interest of Transchip’s registered capital was 35.0% on a fully diluted basis as of December 31, 2024. The Company accounts for its common stock investment in Transchip as an equity method investment as it does not control but has significant influence over operating and financing policies of Transchip. Transchip is the Company’s only equity method investment.</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As of December 31, 2024, the carrying value of the investment in Transchip was $5.8 million. The Company’s loss from its proportionate share of its equity method investment in Transchip was $2.7 million for the year ended December 31, 2024. Management reviews its investment in Transchip for impairment if and when circumstances indicate that a decline in fair value below its carrying amount may have occurred. The Company identified certain factors which could indicate a decline in fair value of its equity method investment. After completing its impairment assessment based on the prevailing facts and circumstances, management determined that the impairment condition was not considered other than temporary. As such, no impairment charge has been recognized during the year ended December 31, 2024. Management will continue to closely monitor future events and developments that would impact its assessment and if future facts and circumstances indicate that decline in fair value of the investment is other than temporary, a significant impairment may be recorded.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For financial reporting purposes, loss before provision for income taxes, includes the following components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(30,191)</w:t>
            </w:r>
          </w:p>
        </w:tc>
        <w:tc>
          <w:tcPr>
            <w:tcW w:w="0" w:type="dxa"/>
            <w:vAlign w:val="bottom"/>
          </w:tcPr>
          <w:p>
            <w:pPr>
              <w:spacing w:after="0"/>
              <w:rPr>
                <w:sz w:val="1"/>
                <w:szCs w:val="1"/>
                <w:color w:val="auto"/>
              </w:rPr>
            </w:pPr>
          </w:p>
        </w:tc>
      </w:tr>
      <w:tr>
        <w:trPr>
          <w:trHeight w:val="22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(5,001)</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Loss before provision for income taxes</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(35,192)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rPr>
              <w:t>Provision for Income Taxes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8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140" w:type="dxa"/>
            <w:vAlign w:val="bottom"/>
          </w:tcPr>
          <w:p>
            <w:pPr>
              <w:spacing w:after="0"/>
              <w:rPr>
                <w:sz w:val="20"/>
                <w:szCs w:val="20"/>
                <w:color w:val="auto"/>
              </w:rPr>
            </w:pPr>
            <w:r>
              <w:rPr>
                <w:rFonts w:ascii="Arial" w:cs="Arial" w:eastAsia="Arial" w:hAnsi="Arial"/>
                <w:sz w:val="17"/>
                <w:szCs w:val="17"/>
                <w:color w:val="auto"/>
              </w:rPr>
              <w:t>The provision for income taxes consists of the following (in thousands):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8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Federal</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553</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1,122</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current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1,677</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7"/>
                <w:szCs w:val="17"/>
                <w:b w:val="1"/>
                <w:bCs w:val="1"/>
                <w:color w:val="auto"/>
              </w:rPr>
              <w:t>Deferred: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State</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w:t>
            </w:r>
          </w:p>
        </w:tc>
        <w:tc>
          <w:tcPr>
            <w:tcW w:w="3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Deferred tax</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Provision for income taxes</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Income tax (provision) benefit related to continuing operations differ from the amounts computed by applying the statutory income tax rate of 21% to pretax loss as follows:</w:t>
      </w:r>
    </w:p>
    <w:p>
      <w:pPr>
        <w:spacing w:after="0" w:line="158"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U.S. Federal (provision) benefit</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7"/>
        </w:trPr>
        <w:tc>
          <w:tcPr>
            <w:tcW w:w="8900" w:type="dxa"/>
            <w:vAlign w:val="bottom"/>
            <w:gridSpan w:val="2"/>
          </w:tcPr>
          <w:p>
            <w:pPr>
              <w:ind w:left="20"/>
              <w:spacing w:after="0"/>
              <w:rPr>
                <w:sz w:val="20"/>
                <w:szCs w:val="20"/>
                <w:color w:val="auto"/>
              </w:rPr>
            </w:pPr>
            <w:r>
              <w:rPr>
                <w:rFonts w:ascii="Arial" w:cs="Arial" w:eastAsia="Arial" w:hAnsi="Arial"/>
                <w:sz w:val="17"/>
                <w:szCs w:val="17"/>
                <w:color w:val="auto"/>
              </w:rPr>
              <w:t>At Statutory Rate</w:t>
            </w:r>
          </w:p>
        </w:tc>
        <w:tc>
          <w:tcPr>
            <w:tcW w:w="640" w:type="dxa"/>
            <w:vAlign w:val="bottom"/>
          </w:tcPr>
          <w:p>
            <w:pPr>
              <w:jc w:val="right"/>
              <w:spacing w:after="0"/>
              <w:rPr>
                <w:sz w:val="20"/>
                <w:szCs w:val="20"/>
                <w:color w:val="auto"/>
              </w:rPr>
            </w:pPr>
            <w:r>
              <w:rPr>
                <w:rFonts w:ascii="Arial" w:cs="Arial" w:eastAsia="Arial" w:hAnsi="Arial"/>
                <w:sz w:val="17"/>
                <w:szCs w:val="17"/>
                <w:color w:val="auto"/>
              </w:rPr>
              <w:t>21.0 %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21.0 %</w:t>
            </w:r>
          </w:p>
        </w:tc>
      </w:tr>
      <w:tr>
        <w:trPr>
          <w:trHeight w:val="232"/>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State Taxes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r>
      <w:tr>
        <w:trPr>
          <w:trHeight w:val="227"/>
        </w:trPr>
        <w:tc>
          <w:tcPr>
            <w:tcW w:w="8900" w:type="dxa"/>
            <w:vAlign w:val="bottom"/>
            <w:gridSpan w:val="2"/>
          </w:tcPr>
          <w:p>
            <w:pPr>
              <w:ind w:left="20"/>
              <w:spacing w:after="0"/>
              <w:rPr>
                <w:sz w:val="20"/>
                <w:szCs w:val="20"/>
                <w:color w:val="auto"/>
              </w:rPr>
            </w:pPr>
            <w:r>
              <w:rPr>
                <w:rFonts w:ascii="Arial" w:cs="Arial" w:eastAsia="Arial" w:hAnsi="Arial"/>
                <w:sz w:val="17"/>
                <w:szCs w:val="17"/>
                <w:color w:val="auto"/>
              </w:rPr>
              <w:t>Valuation Allowance</w:t>
            </w:r>
          </w:p>
        </w:tc>
        <w:tc>
          <w:tcPr>
            <w:tcW w:w="640" w:type="dxa"/>
            <w:vAlign w:val="bottom"/>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(20.9)%</w:t>
            </w:r>
          </w:p>
        </w:tc>
      </w:tr>
      <w:tr>
        <w:trPr>
          <w:trHeight w:val="232"/>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Foreign Tax Differential</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27"/>
        </w:trPr>
        <w:tc>
          <w:tcPr>
            <w:tcW w:w="8900" w:type="dxa"/>
            <w:vAlign w:val="bottom"/>
            <w:gridSpan w:val="2"/>
          </w:tcPr>
          <w:p>
            <w:pPr>
              <w:ind w:left="20"/>
              <w:spacing w:after="0"/>
              <w:rPr>
                <w:sz w:val="20"/>
                <w:szCs w:val="20"/>
                <w:color w:val="auto"/>
              </w:rPr>
            </w:pPr>
            <w:r>
              <w:rPr>
                <w:rFonts w:ascii="Arial" w:cs="Arial" w:eastAsia="Arial" w:hAnsi="Arial"/>
                <w:sz w:val="17"/>
                <w:szCs w:val="17"/>
                <w:color w:val="auto"/>
              </w:rPr>
              <w:t>Tax Credits</w:t>
            </w:r>
          </w:p>
        </w:tc>
        <w:tc>
          <w:tcPr>
            <w:tcW w:w="640" w:type="dxa"/>
            <w:vAlign w:val="bottom"/>
          </w:tcPr>
          <w:p>
            <w:pPr>
              <w:jc w:val="right"/>
              <w:spacing w:after="0"/>
              <w:rPr>
                <w:sz w:val="20"/>
                <w:szCs w:val="20"/>
                <w:color w:val="auto"/>
              </w:rPr>
            </w:pPr>
            <w:r>
              <w:rPr>
                <w:rFonts w:ascii="Arial" w:cs="Arial" w:eastAsia="Arial" w:hAnsi="Arial"/>
                <w:sz w:val="17"/>
                <w:szCs w:val="17"/>
                <w:color w:val="auto"/>
              </w:rPr>
              <w:t>4.1 %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2.2 %</w:t>
            </w:r>
          </w:p>
        </w:tc>
      </w:tr>
      <w:tr>
        <w:trPr>
          <w:trHeight w:val="232"/>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 Based Compensation</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27"/>
        </w:trPr>
        <w:tc>
          <w:tcPr>
            <w:tcW w:w="8900" w:type="dxa"/>
            <w:vAlign w:val="bottom"/>
            <w:gridSpan w:val="2"/>
          </w:tcPr>
          <w:p>
            <w:pPr>
              <w:ind w:left="20"/>
              <w:spacing w:after="0"/>
              <w:rPr>
                <w:sz w:val="20"/>
                <w:szCs w:val="20"/>
                <w:color w:val="auto"/>
              </w:rPr>
            </w:pPr>
            <w:r>
              <w:rPr>
                <w:rFonts w:ascii="Arial" w:cs="Arial" w:eastAsia="Arial" w:hAnsi="Arial"/>
                <w:sz w:val="17"/>
                <w:szCs w:val="17"/>
                <w:color w:val="auto"/>
              </w:rPr>
              <w:t>Foreign Earnings and Adjustments</w:t>
            </w:r>
          </w:p>
        </w:tc>
        <w:tc>
          <w:tcPr>
            <w:tcW w:w="640" w:type="dxa"/>
            <w:vAlign w:val="bottom"/>
          </w:tcPr>
          <w:p>
            <w:pPr>
              <w:jc w:val="right"/>
              <w:spacing w:after="0"/>
              <w:rPr>
                <w:sz w:val="20"/>
                <w:szCs w:val="20"/>
                <w:color w:val="auto"/>
              </w:rPr>
            </w:pPr>
            <w:r>
              <w:rPr>
                <w:rFonts w:ascii="Arial" w:cs="Arial" w:eastAsia="Arial" w:hAnsi="Arial"/>
                <w:sz w:val="17"/>
                <w:szCs w:val="17"/>
                <w:color w:val="auto"/>
              </w:rPr>
              <w:t>2.2 %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1.6 %</w:t>
            </w:r>
          </w:p>
        </w:tc>
      </w:tr>
      <w:tr>
        <w:trPr>
          <w:trHeight w:val="232"/>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Foreign Withholding Tax</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27"/>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r>
      <w:tr>
        <w:trPr>
          <w:trHeight w:val="245"/>
        </w:trPr>
        <w:tc>
          <w:tcPr>
            <w:tcW w:w="89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Tax Assets and Liabilities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Significant components of the Company’s deferred tax assets and liabilities are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Federal &amp; State NOL carryforward</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1,632</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1,337</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&amp; Other credits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8,425</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Capitalized R&amp;D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16,561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12,821</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9,838</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Reserves and accruals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1,192</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Other intangibles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549</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liabilities</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w:t>
            </w:r>
          </w:p>
        </w:tc>
      </w:tr>
      <w:tr>
        <w:trPr>
          <w:trHeight w:val="221"/>
        </w:trPr>
        <w:tc>
          <w:tcPr>
            <w:tcW w:w="8140" w:type="dxa"/>
            <w:vAlign w:val="bottom"/>
          </w:tcPr>
          <w:p>
            <w:pPr>
              <w:ind w:left="140"/>
              <w:spacing w:after="0"/>
              <w:rPr>
                <w:sz w:val="20"/>
                <w:szCs w:val="20"/>
                <w:color w:val="auto"/>
              </w:rPr>
            </w:pPr>
            <w:r>
              <w:rPr>
                <w:rFonts w:ascii="Arial" w:cs="Arial" w:eastAsia="Arial" w:hAnsi="Arial"/>
                <w:sz w:val="17"/>
                <w:szCs w:val="17"/>
                <w:color w:val="auto"/>
              </w:rPr>
              <w:t>Total Gross Deferred tax asset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43,434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36,047</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Valuation allowance</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(41,505)</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(33,768)</w:t>
            </w:r>
          </w:p>
        </w:tc>
      </w:tr>
      <w:tr>
        <w:trPr>
          <w:trHeight w:val="221"/>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Deferred tax assets</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2,279</w:t>
            </w:r>
          </w:p>
        </w:tc>
      </w:tr>
      <w:tr>
        <w:trPr>
          <w:trHeight w:val="21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Liabilities: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Other intangibles</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(354)</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(417)</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Prepaid expenses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(480)</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assets</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w:t>
            </w:r>
          </w:p>
        </w:tc>
      </w:tr>
      <w:tr>
        <w:trPr>
          <w:trHeight w:val="221"/>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Gross Deferred tax liabilities</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(2,279)</w:t>
            </w:r>
          </w:p>
        </w:tc>
      </w:tr>
      <w:tr>
        <w:trPr>
          <w:trHeight w:val="250"/>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Deferred tax assets</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provisions of ASC 740, require an assessment of both positive and negative evidence when determining whether it is more likely than not that deferred tax assets are recoverable. For the years ended December 31, 2024 and 2023, based on all available objective evidence, including the existence of cumulative losses, the Company determined that it was not more likely than not that the net deferred tax assets were fully realizable. Accordingly, the Company determined that a full valuation allowance against its U.S. (federal and state), French and China deferred tax assets is appropriate. The Company intends to maintain a full valuation allowance on net deferred tax assets until sufficient positive evidence exists to support reversal of the valuation allowance. During the years ended December 31, 2024, and 2023, the valuation allowance was $41.5 million and $33.8 million, respectively.</w:t>
      </w:r>
    </w:p>
    <w:p>
      <w:pPr>
        <w:spacing w:after="0" w:line="12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valuation allowance increased by $7.7 million and $9.1 million during the years ended December 31, 2024, and 2023, respectively, primarily due to changes in the U.S. research and development tax credits, stock compensation deferred tax assets, and capitalized research and experimental expenses.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Operating Loss and Tax Credit Carryforwards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December 31, 2024, the Company had no net operating loss carryforward for federal income tax purposes. The Company had a total state net operating loss carryforward of approximately $18.0 million, which will begin to expire in 2030. Utilization of some of the federal and state net operating loss and credit carryforwards are subject to annual limitations due to the “change in ownership” provisions of the Internal Revenue Code of 1986 and similar state provisions. The annual limitations may result in the expiration of net operating losses and credits before utilization.</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has federal research and development tax credits of approximately $5.8 million, which will begin to expire in 2036 and California research and development tax credits of approximately $4.3 million which can be carried forward indefinitely. These tax credits are subject to the same limitations discussed above.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Unrecognized Tax Benefits</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adopted the provisions of ASC 740, which requires companies to determine whether it is “more likely than not” that a tax position will be sustained upon examination by the appropriate taxing authorities before any tax benefit can be recorded in the financial statements. It also provides guidance on the recognition, measurement, classification and interest and penalties related to uncertain tax positions.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the following activity relating to unrecognized tax benefits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25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r>
      <w:tr>
        <w:trPr>
          <w:trHeight w:val="196"/>
        </w:trPr>
        <w:tc>
          <w:tcPr>
            <w:tcW w:w="81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2,595</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Gross increases—Tax Positions in Prior Periods</w:t>
            </w:r>
          </w:p>
        </w:tc>
        <w:tc>
          <w:tcPr>
            <w:tcW w:w="9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429</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decreases—Tax Positions in Prior Periods</w:t>
            </w: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increases—Tax Positions in Current Period</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w:t>
            </w: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December 31, 2024, the total amount of gross unrecognized tax benefits was $3.6 million, of which $0.1 million, if recognized, would impact the Company’s effective tax rate.</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files federal and state income tax returns. For U.S. federal and state income tax purposes, the statute of limitations currently remains open for the years ending December 31, 2021 to present and December 31, 2020 to present, respectively. In addition, all of the net operating losses and research and development credit carryforwards since inception that could be utilized in future years may be subject to examination. There are currently no pending income tax examinations.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DEFINED CONTRIBUTION PLAN AND BENEFIT PLANS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has a 401(k) plan to provide defined contribution retirement benefits for all of its US based employees. Employees may elect to contribute a portion of their pretax compensation to the 401(k) plan, subject to the U.S. Internal Revenue Service annual contribution limit. Employee contributions are fully vested at all times. For both the years ended December 31, 2024, and 2023, the Company contributed $0.8 million to the 401(k) plan.</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has two defined benefit pension plans (the Plans), and both Plans are outside the United States. One of the defined benefit plans was assumed as a result of the acquisition of Magillem during the year ended December 31, 2020. The Plans cover all employees of the Company’s French subsidiary in accordance with French regulations. The Plans are unfunded and accounted for under the credit method and are subject to an actuarial measurement of what the Company needs at the present time to cover the future pension liabilities, including expected future salary increases.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Components of the net periodic pension costs and changes in benefit obligations under the Plan were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62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528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2024</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costs</w:t>
            </w:r>
          </w:p>
        </w:tc>
        <w:tc>
          <w:tcPr>
            <w:tcW w:w="42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27"/>
        </w:trPr>
        <w:tc>
          <w:tcPr>
            <w:tcW w:w="3900" w:type="dxa"/>
            <w:vAlign w:val="bottom"/>
          </w:tcPr>
          <w:p>
            <w:pPr>
              <w:ind w:left="20"/>
              <w:spacing w:after="0"/>
              <w:rPr>
                <w:sz w:val="20"/>
                <w:szCs w:val="20"/>
                <w:color w:val="auto"/>
              </w:rPr>
            </w:pPr>
            <w:r>
              <w:rPr>
                <w:rFonts w:ascii="Arial" w:cs="Arial" w:eastAsia="Arial" w:hAnsi="Arial"/>
                <w:sz w:val="17"/>
                <w:szCs w:val="17"/>
                <w:color w:val="auto"/>
              </w:rPr>
              <w:t>Interest costs</w:t>
            </w:r>
          </w:p>
        </w:tc>
        <w:tc>
          <w:tcPr>
            <w:tcW w:w="4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32"/>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Prior service costs (credit)</w:t>
            </w:r>
          </w:p>
        </w:tc>
        <w:tc>
          <w:tcPr>
            <w:tcW w:w="4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7"/>
                <w:szCs w:val="17"/>
                <w:color w:val="auto"/>
              </w:rPr>
              <w:t>Total net periodic pension cost</w:t>
            </w:r>
          </w:p>
        </w:tc>
        <w:tc>
          <w:tcPr>
            <w:tcW w:w="4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240" w:type="dxa"/>
            <w:vAlign w:val="bottom"/>
            <w:vMerge w:val="restart"/>
          </w:tcPr>
          <w:p>
            <w:pPr>
              <w:jc w:val="right"/>
              <w:ind w:right="2304"/>
              <w:spacing w:after="0"/>
              <w:rPr>
                <w:sz w:val="20"/>
                <w:szCs w:val="20"/>
                <w:color w:val="auto"/>
              </w:rPr>
            </w:pPr>
            <w:r>
              <w:rPr>
                <w:rFonts w:ascii="Arial" w:cs="Arial" w:eastAsia="Arial" w:hAnsi="Arial"/>
                <w:sz w:val="16"/>
                <w:szCs w:val="16"/>
                <w:color w:val="auto"/>
              </w:rPr>
              <w:t>106</w:t>
            </w: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6"/>
        </w:trPr>
        <w:tc>
          <w:tcPr>
            <w:tcW w:w="390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900" w:type="dxa"/>
            <w:vAlign w:val="bottom"/>
            <w:tcBorders>
              <w:bottom w:val="single" w:sz="8" w:color="9A9A9A"/>
            </w:tcBorders>
          </w:tcPr>
          <w:p>
            <w:pPr>
              <w:spacing w:after="0"/>
              <w:rPr>
                <w:sz w:val="9"/>
                <w:szCs w:val="9"/>
                <w:color w:val="auto"/>
              </w:rPr>
            </w:pPr>
          </w:p>
        </w:tc>
        <w:tc>
          <w:tcPr>
            <w:tcW w:w="42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jc w:val="right"/>
              <w:ind w:right="797"/>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Benefit obligation, beginning of year</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w:t>
            </w:r>
          </w:p>
        </w:tc>
        <w:tc>
          <w:tcPr>
            <w:tcW w:w="0" w:type="dxa"/>
            <w:vAlign w:val="bottom"/>
          </w:tcPr>
          <w:p>
            <w:pPr>
              <w:spacing w:after="0"/>
              <w:rPr>
                <w:sz w:val="1"/>
                <w:szCs w:val="1"/>
                <w:color w:val="auto"/>
              </w:rPr>
            </w:pPr>
          </w:p>
        </w:tc>
      </w:tr>
      <w:tr>
        <w:trPr>
          <w:trHeight w:val="227"/>
        </w:trPr>
        <w:tc>
          <w:tcPr>
            <w:tcW w:w="8140" w:type="dxa"/>
            <w:vAlign w:val="bottom"/>
            <w:gridSpan w:val="2"/>
          </w:tcPr>
          <w:p>
            <w:pPr>
              <w:ind w:left="20"/>
              <w:spacing w:after="0"/>
              <w:rPr>
                <w:sz w:val="20"/>
                <w:szCs w:val="20"/>
                <w:color w:val="auto"/>
              </w:rPr>
            </w:pPr>
            <w:r>
              <w:rPr>
                <w:rFonts w:ascii="Arial" w:cs="Arial" w:eastAsia="Arial" w:hAnsi="Arial"/>
                <w:sz w:val="17"/>
                <w:szCs w:val="17"/>
                <w:color w:val="auto"/>
              </w:rPr>
              <w:t>Service costs</w:t>
            </w:r>
          </w:p>
        </w:tc>
        <w:tc>
          <w:tcPr>
            <w:tcW w:w="2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134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32"/>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costs</w:t>
            </w: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27"/>
        </w:trPr>
        <w:tc>
          <w:tcPr>
            <w:tcW w:w="8140" w:type="dxa"/>
            <w:vAlign w:val="bottom"/>
            <w:gridSpan w:val="2"/>
          </w:tcPr>
          <w:p>
            <w:pPr>
              <w:ind w:left="20"/>
              <w:spacing w:after="0"/>
              <w:rPr>
                <w:sz w:val="20"/>
                <w:szCs w:val="20"/>
                <w:color w:val="auto"/>
              </w:rPr>
            </w:pPr>
            <w:r>
              <w:rPr>
                <w:rFonts w:ascii="Arial" w:cs="Arial" w:eastAsia="Arial" w:hAnsi="Arial"/>
                <w:sz w:val="17"/>
                <w:szCs w:val="17"/>
                <w:color w:val="auto"/>
              </w:rPr>
              <w:t>Prior service costs (credit)</w:t>
            </w:r>
          </w:p>
        </w:tc>
        <w:tc>
          <w:tcPr>
            <w:tcW w:w="280" w:type="dxa"/>
            <w:vAlign w:val="bottom"/>
          </w:tcPr>
          <w:p>
            <w:pPr>
              <w:spacing w:after="0"/>
              <w:rPr>
                <w:sz w:val="19"/>
                <w:szCs w:val="19"/>
                <w:color w:val="auto"/>
              </w:rPr>
            </w:pPr>
          </w:p>
        </w:tc>
        <w:tc>
          <w:tcPr>
            <w:tcW w:w="132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32"/>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actuarial (gain) loss</w:t>
            </w: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27"/>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Foreign exchange (gain) loss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Benefit obligation, end of year, included as part of other liabilities</w:t>
            </w: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983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Weighted-average assumptions used to determine benefit obligations were as follows: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1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7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3.12 %</w:t>
            </w:r>
          </w:p>
        </w:tc>
        <w:tc>
          <w:tcPr>
            <w:tcW w:w="0" w:type="dxa"/>
            <w:vAlign w:val="bottom"/>
          </w:tcPr>
          <w:p>
            <w:pPr>
              <w:spacing w:after="0"/>
              <w:rPr>
                <w:sz w:val="1"/>
                <w:szCs w:val="1"/>
                <w:color w:val="auto"/>
              </w:rPr>
            </w:pPr>
          </w:p>
        </w:tc>
      </w:tr>
      <w:tr>
        <w:trPr>
          <w:trHeight w:val="225"/>
        </w:trPr>
        <w:tc>
          <w:tcPr>
            <w:tcW w:w="8140" w:type="dxa"/>
            <w:vAlign w:val="bottom"/>
            <w:gridSpan w:val="2"/>
          </w:tcPr>
          <w:p>
            <w:pPr>
              <w:ind w:left="20"/>
              <w:spacing w:after="0"/>
              <w:rPr>
                <w:sz w:val="20"/>
                <w:szCs w:val="20"/>
                <w:color w:val="auto"/>
              </w:rPr>
            </w:pPr>
            <w:r>
              <w:rPr>
                <w:rFonts w:ascii="Arial" w:cs="Arial" w:eastAsia="Arial" w:hAnsi="Arial"/>
                <w:sz w:val="17"/>
                <w:szCs w:val="17"/>
                <w:color w:val="auto"/>
              </w:rPr>
              <w:t>Rate of compensation increase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3.00 %</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defines related parties as directors, executive officers, nominees for director, stockholders that have significant influence over the Company, or are a greater than 10% beneficial owner of the Company’s capital and their affiliates or immediate family members. Transchip, an equity method investee of the Company, is also deemed as a related party.</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November 2020, the Company entered into a lease agreement with Isabelle Geday, a member of the Board of Directors. The lease payments were $0.2 million for both the years ended December 31, 2024, and 2023, respectively. In addition, the Company signed a consulting agreement with Ms. Geday on December 1, 2021, which was subsequently assigned to Magillem Design Services S.A., effective January 10, 2022. The consulting agreement term concluded in November 2024. Prior to signing the consulting agreement, Ms. Geday was paid as an executive employee of the Company from December 1, 2020, through November 30, 2021. As a consultant, Ms. Geday provided services for an initial three-year term and was eligible to receive $26,445 per month for the first 12 months of the consulting term and $19,445 per month for the remaining 24 months of the consulting term. For the years ended December 31, 2024, and 2023, the Company paid Ms. Geday $0.2 million and $0.3 million for consulting services, respectively. Lastly, in connection with Ms. Geday’s prior employment, the Company granted 62,200 RSUs that continue to vest and 455,000 stock options that fully vested as of December 31, 2024. The Company recognized stock-based compensation expense of $0.1 million for both the years ended December 31, 2024, and 2023, respectively, for the stock options and RSUs granted in connection with Ms. Geday’s prior employment.</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November 15, 2024, the Company entered into a design services licensing business collaboration agreement with Transchip. This arrangement gives Transchip a non-exclusive license right to make design house offerings including certain of the Company's products. The Company retains the manufacturing and royalty related rights in relation to the Company’s products used in the design house offerings. The Company did not recognize revenue under this arrangement during the year ended December 31, 2024.</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AND GEOGRAPHIC INFORMATION</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operates in one reportable segment, as more fully described in Note 2. The Company’s CODM reviews and allocates resources using the Company’s financial performance, primarily the net loss presented in the consolidated statements of operations. Other financial performance measures include Annual Contract Value (ACV), ACV plus royalties and remaining performance obligations. The CODM is regularly provided with only the consolidated expenses as noted on the face of the consolidated statements of operations, that are considered as significant expenses, as summarized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20" w:type="dxa"/>
            <w:vAlign w:val="bottom"/>
          </w:tcPr>
          <w:p>
            <w:pPr>
              <w:spacing w:after="0"/>
              <w:rPr>
                <w:sz w:val="17"/>
                <w:szCs w:val="17"/>
                <w:color w:val="auto"/>
              </w:rPr>
            </w:pPr>
          </w:p>
        </w:tc>
        <w:tc>
          <w:tcPr>
            <w:tcW w:w="284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7"/>
                <w:szCs w:val="17"/>
                <w:color w:val="auto"/>
              </w:rPr>
            </w:pPr>
          </w:p>
        </w:tc>
      </w:tr>
      <w:tr>
        <w:trPr>
          <w:trHeight w:val="196"/>
        </w:trPr>
        <w:tc>
          <w:tcPr>
            <w:tcW w:w="77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7"/>
                <w:szCs w:val="17"/>
                <w:color w:val="auto"/>
              </w:rPr>
            </w:pPr>
          </w:p>
        </w:tc>
      </w:tr>
      <w:tr>
        <w:trPr>
          <w:trHeight w:val="193"/>
        </w:trPr>
        <w:tc>
          <w:tcPr>
            <w:tcW w:w="7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0" w:type="dxa"/>
            <w:vAlign w:val="bottom"/>
            <w:gridSpan w:val="3"/>
          </w:tcPr>
          <w:p>
            <w:pPr>
              <w:jc w:val="right"/>
              <w:ind w:right="539"/>
              <w:spacing w:after="0"/>
              <w:rPr>
                <w:sz w:val="20"/>
                <w:szCs w:val="20"/>
                <w:color w:val="auto"/>
              </w:rPr>
            </w:pPr>
            <w:r>
              <w:rPr>
                <w:rFonts w:ascii="Arial" w:cs="Arial" w:eastAsia="Arial" w:hAnsi="Arial"/>
                <w:sz w:val="14"/>
                <w:szCs w:val="14"/>
                <w:i w:val="1"/>
                <w:iCs w:val="1"/>
                <w:color w:val="auto"/>
              </w:rPr>
              <w:t>(in thousands)</w:t>
            </w:r>
          </w:p>
        </w:tc>
        <w:tc>
          <w:tcPr>
            <w:tcW w:w="680" w:type="dxa"/>
            <w:vAlign w:val="bottom"/>
          </w:tcPr>
          <w:p>
            <w:pPr>
              <w:spacing w:after="0"/>
              <w:rPr>
                <w:sz w:val="16"/>
                <w:szCs w:val="16"/>
                <w:color w:val="auto"/>
              </w:rPr>
            </w:pPr>
          </w:p>
        </w:tc>
      </w:tr>
      <w:tr>
        <w:trPr>
          <w:trHeight w:val="260"/>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57,724</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53,666</w:t>
            </w:r>
          </w:p>
        </w:tc>
      </w:tr>
      <w:tr>
        <w:trPr>
          <w:trHeight w:val="230"/>
        </w:trPr>
        <w:tc>
          <w:tcPr>
            <w:tcW w:w="7720" w:type="dxa"/>
            <w:vAlign w:val="bottom"/>
          </w:tcPr>
          <w:p>
            <w:pPr>
              <w:ind w:left="20"/>
              <w:spacing w:after="0"/>
              <w:rPr>
                <w:sz w:val="20"/>
                <w:szCs w:val="20"/>
                <w:color w:val="auto"/>
              </w:rPr>
            </w:pPr>
            <w:r>
              <w:rPr>
                <w:rFonts w:ascii="Arial" w:cs="Arial" w:eastAsia="Arial" w:hAnsi="Arial"/>
                <w:sz w:val="17"/>
                <w:szCs w:val="17"/>
                <w:color w:val="auto"/>
              </w:rPr>
              <w:t>Less: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7"/>
        </w:trPr>
        <w:tc>
          <w:tcPr>
            <w:tcW w:w="7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7"/>
        </w:trPr>
        <w:tc>
          <w:tcPr>
            <w:tcW w:w="7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revenue</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5,962</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5,077</w:t>
            </w:r>
          </w:p>
        </w:tc>
      </w:tr>
      <w:tr>
        <w:trPr>
          <w:trHeight w:val="250"/>
        </w:trPr>
        <w:tc>
          <w:tcPr>
            <w:tcW w:w="7720" w:type="dxa"/>
            <w:vAlign w:val="bottom"/>
          </w:tcPr>
          <w:p>
            <w:pPr>
              <w:ind w:left="140"/>
              <w:spacing w:after="0"/>
              <w:rPr>
                <w:sz w:val="20"/>
                <w:szCs w:val="20"/>
                <w:color w:val="auto"/>
              </w:rPr>
            </w:pPr>
            <w:r>
              <w:rPr>
                <w:rFonts w:ascii="Arial" w:cs="Arial" w:eastAsia="Arial" w:hAnsi="Arial"/>
                <w:sz w:val="17"/>
                <w:szCs w:val="17"/>
                <w:color w:val="auto"/>
              </w:rPr>
              <w:t>Research and development</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45,007</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45,128</w:t>
            </w:r>
          </w:p>
        </w:tc>
      </w:tr>
      <w:tr>
        <w:trPr>
          <w:trHeight w:val="263"/>
        </w:trPr>
        <w:tc>
          <w:tcPr>
            <w:tcW w:w="7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Sales and marketing</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20,796</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20,659</w:t>
            </w:r>
          </w:p>
        </w:tc>
      </w:tr>
      <w:tr>
        <w:trPr>
          <w:trHeight w:val="250"/>
        </w:trPr>
        <w:tc>
          <w:tcPr>
            <w:tcW w:w="7720" w:type="dxa"/>
            <w:vAlign w:val="bottom"/>
          </w:tcPr>
          <w:p>
            <w:pPr>
              <w:ind w:left="140"/>
              <w:spacing w:after="0"/>
              <w:rPr>
                <w:sz w:val="20"/>
                <w:szCs w:val="20"/>
                <w:color w:val="auto"/>
              </w:rPr>
            </w:pPr>
            <w:r>
              <w:rPr>
                <w:rFonts w:ascii="Arial" w:cs="Arial" w:eastAsia="Arial" w:hAnsi="Arial"/>
                <w:sz w:val="17"/>
                <w:szCs w:val="17"/>
                <w:color w:val="auto"/>
              </w:rPr>
              <w:t>General and administrative</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17,555</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17,944</w:t>
            </w:r>
          </w:p>
        </w:tc>
      </w:tr>
      <w:tr>
        <w:trPr>
          <w:trHeight w:val="236"/>
        </w:trPr>
        <w:tc>
          <w:tcPr>
            <w:tcW w:w="7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3,156</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3,347</w:t>
            </w:r>
          </w:p>
        </w:tc>
      </w:tr>
      <w:tr>
        <w:trPr>
          <w:trHeight w:val="250"/>
        </w:trPr>
        <w:tc>
          <w:tcPr>
            <w:tcW w:w="7720" w:type="dxa"/>
            <w:vAlign w:val="bottom"/>
          </w:tcPr>
          <w:p>
            <w:pPr>
              <w:ind w:left="140"/>
              <w:spacing w:after="0"/>
              <w:rPr>
                <w:sz w:val="20"/>
                <w:szCs w:val="20"/>
                <w:color w:val="auto"/>
              </w:rPr>
            </w:pPr>
            <w:r>
              <w:rPr>
                <w:rFonts w:ascii="Arial" w:cs="Arial" w:eastAsia="Arial" w:hAnsi="Arial"/>
                <w:sz w:val="17"/>
                <w:szCs w:val="17"/>
                <w:color w:val="auto"/>
              </w:rPr>
              <w:t>Loss from equity method investment, net of tax</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2,698</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3,397</w:t>
            </w:r>
          </w:p>
        </w:tc>
      </w:tr>
      <w:tr>
        <w:trPr>
          <w:trHeight w:val="263"/>
        </w:trPr>
        <w:tc>
          <w:tcPr>
            <w:tcW w:w="7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Provision for income taxes</w:t>
            </w:r>
          </w:p>
        </w:tc>
        <w:tc>
          <w:tcPr>
            <w:tcW w:w="10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8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1,677</w:t>
            </w:r>
          </w:p>
        </w:tc>
      </w:tr>
      <w:tr>
        <w:trPr>
          <w:trHeight w:val="223"/>
        </w:trPr>
        <w:tc>
          <w:tcPr>
            <w:tcW w:w="77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(33,638)</w:t>
            </w:r>
          </w:p>
        </w:tc>
        <w:tc>
          <w:tcPr>
            <w:tcW w:w="80" w:type="dxa"/>
            <w:vAlign w:val="bottom"/>
          </w:tcPr>
          <w:p>
            <w:pPr>
              <w:spacing w:after="0"/>
              <w:rPr>
                <w:sz w:val="19"/>
                <w:szCs w:val="19"/>
                <w:color w:val="auto"/>
              </w:rPr>
            </w:pP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(36,869)</w:t>
            </w: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Represents interest expense and other income (expense), net</w:t>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Refer to Note 2 for information about customers which account for more than 10% of total revenue. Refer to Note 3 for a summary of revenue by major product and service group.</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revenues by geographic area based on customer location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bottom w:val="single" w:sz="8" w:color="CCEEFF"/>
            </w:tcBorders>
          </w:tcPr>
          <w:p>
            <w:pPr>
              <w:spacing w:after="0"/>
              <w:rPr>
                <w:sz w:val="17"/>
                <w:szCs w:val="17"/>
                <w:color w:val="auto"/>
              </w:rPr>
            </w:pPr>
          </w:p>
        </w:tc>
        <w:tc>
          <w:tcPr>
            <w:tcW w:w="48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1139"/>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1135"/>
              <w:spacing w:after="0"/>
              <w:rPr>
                <w:sz w:val="20"/>
                <w:szCs w:val="20"/>
                <w:color w:val="auto"/>
              </w:rPr>
            </w:pPr>
            <w:r>
              <w:rPr>
                <w:rFonts w:ascii="Arial" w:cs="Arial" w:eastAsia="Arial" w:hAnsi="Arial"/>
                <w:sz w:val="14"/>
                <w:szCs w:val="14"/>
                <w:b w:val="1"/>
                <w:bCs w:val="1"/>
                <w:color w:val="auto"/>
                <w:w w:val="96"/>
              </w:rPr>
              <w:t>2023</w:t>
            </w:r>
          </w:p>
        </w:tc>
        <w:tc>
          <w:tcPr>
            <w:tcW w:w="3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22,697</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39.4 %</w:t>
            </w:r>
          </w:p>
        </w:tc>
        <w:tc>
          <w:tcPr>
            <w:tcW w:w="320" w:type="dxa"/>
            <w:vAlign w:val="bottom"/>
            <w:shd w:val="clear" w:color="auto" w:fill="CCEEFF"/>
          </w:tcPr>
          <w:p>
            <w:pPr>
              <w:jc w:val="right"/>
              <w:ind w:right="125"/>
              <w:spacing w:after="0" w:line="125" w:lineRule="exact"/>
              <w:rPr>
                <w:sz w:val="20"/>
                <w:szCs w:val="20"/>
                <w:color w:val="auto"/>
              </w:rPr>
            </w:pPr>
            <w:r>
              <w:rPr>
                <w:rFonts w:ascii="Arial" w:cs="Arial" w:eastAsia="Arial" w:hAnsi="Arial"/>
                <w:sz w:val="11"/>
                <w:szCs w:val="11"/>
                <w:color w:val="auto"/>
                <w:w w:val="88"/>
              </w:rPr>
              <w:t>(1)</w:t>
            </w: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19,237</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35.9 %</w:t>
            </w:r>
          </w:p>
        </w:tc>
        <w:tc>
          <w:tcPr>
            <w:tcW w:w="340" w:type="dxa"/>
            <w:vAlign w:val="bottom"/>
            <w:shd w:val="clear" w:color="auto" w:fill="CCEEFF"/>
          </w:tcPr>
          <w:p>
            <w:pPr>
              <w:jc w:val="right"/>
              <w:ind w:right="125"/>
              <w:spacing w:after="0" w:line="125" w:lineRule="exact"/>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4"/>
        </w:trPr>
        <w:tc>
          <w:tcPr>
            <w:tcW w:w="5060" w:type="dxa"/>
            <w:vAlign w:val="bottom"/>
            <w:gridSpan w:val="2"/>
            <w:vMerge w:val="restart"/>
          </w:tcPr>
          <w:p>
            <w:pPr>
              <w:ind w:left="20"/>
              <w:spacing w:after="0"/>
              <w:rPr>
                <w:sz w:val="20"/>
                <w:szCs w:val="20"/>
                <w:color w:val="auto"/>
              </w:rPr>
            </w:pPr>
            <w:r>
              <w:rPr>
                <w:rFonts w:ascii="Arial" w:cs="Arial" w:eastAsia="Arial" w:hAnsi="Arial"/>
                <w:sz w:val="17"/>
                <w:szCs w:val="17"/>
                <w:color w:val="auto"/>
              </w:rPr>
              <w:t>Asia Pacific</w:t>
            </w:r>
          </w:p>
        </w:tc>
        <w:tc>
          <w:tcPr>
            <w:tcW w:w="3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27,808</w:t>
            </w:r>
          </w:p>
        </w:tc>
        <w:tc>
          <w:tcPr>
            <w:tcW w:w="1560" w:type="dxa"/>
            <w:vAlign w:val="bottom"/>
            <w:gridSpan w:val="3"/>
            <w:vMerge w:val="restart"/>
          </w:tcPr>
          <w:p>
            <w:pPr>
              <w:jc w:val="right"/>
              <w:ind w:right="159"/>
              <w:spacing w:after="0"/>
              <w:rPr>
                <w:sz w:val="20"/>
                <w:szCs w:val="20"/>
                <w:color w:val="auto"/>
              </w:rPr>
            </w:pPr>
            <w:r>
              <w:rPr>
                <w:rFonts w:ascii="Arial" w:cs="Arial" w:eastAsia="Arial" w:hAnsi="Arial"/>
                <w:sz w:val="17"/>
                <w:szCs w:val="17"/>
                <w:color w:val="auto"/>
              </w:rPr>
              <w:t>48.1</w:t>
            </w:r>
          </w:p>
        </w:tc>
        <w:tc>
          <w:tcPr>
            <w:tcW w:w="320" w:type="dxa"/>
            <w:vAlign w:val="bottom"/>
          </w:tcPr>
          <w:p>
            <w:pPr>
              <w:jc w:val="right"/>
              <w:ind w:right="125"/>
              <w:spacing w:after="0"/>
              <w:rPr>
                <w:sz w:val="20"/>
                <w:szCs w:val="20"/>
                <w:color w:val="auto"/>
              </w:rPr>
            </w:pPr>
            <w:r>
              <w:rPr>
                <w:rFonts w:ascii="Arial" w:cs="Arial" w:eastAsia="Arial" w:hAnsi="Arial"/>
                <w:sz w:val="11"/>
                <w:szCs w:val="11"/>
                <w:color w:val="auto"/>
                <w:w w:val="88"/>
              </w:rPr>
              <w:t>(2)</w:t>
            </w:r>
          </w:p>
        </w:tc>
        <w:tc>
          <w:tcPr>
            <w:tcW w:w="4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27,976</w:t>
            </w:r>
          </w:p>
        </w:tc>
        <w:tc>
          <w:tcPr>
            <w:tcW w:w="1540" w:type="dxa"/>
            <w:vAlign w:val="bottom"/>
            <w:gridSpan w:val="3"/>
            <w:vMerge w:val="restart"/>
          </w:tcPr>
          <w:p>
            <w:pPr>
              <w:jc w:val="right"/>
              <w:ind w:right="135"/>
              <w:spacing w:after="0"/>
              <w:rPr>
                <w:sz w:val="20"/>
                <w:szCs w:val="20"/>
                <w:color w:val="auto"/>
              </w:rPr>
            </w:pPr>
            <w:r>
              <w:rPr>
                <w:rFonts w:ascii="Arial" w:cs="Arial" w:eastAsia="Arial" w:hAnsi="Arial"/>
                <w:sz w:val="17"/>
                <w:szCs w:val="17"/>
                <w:color w:val="auto"/>
              </w:rPr>
              <w:t>52.1</w:t>
            </w:r>
          </w:p>
        </w:tc>
        <w:tc>
          <w:tcPr>
            <w:tcW w:w="340" w:type="dxa"/>
            <w:vAlign w:val="bottom"/>
          </w:tcPr>
          <w:p>
            <w:pPr>
              <w:jc w:val="right"/>
              <w:ind w:right="125"/>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83"/>
        </w:trPr>
        <w:tc>
          <w:tcPr>
            <w:tcW w:w="50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56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Europe, Middle East</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7,219</w:t>
            </w:r>
          </w:p>
        </w:tc>
        <w:tc>
          <w:tcPr>
            <w:tcW w:w="1560" w:type="dxa"/>
            <w:vAlign w:val="bottom"/>
            <w:gridSpan w:val="3"/>
            <w:shd w:val="clear" w:color="auto" w:fill="CCEEFF"/>
          </w:tcPr>
          <w:p>
            <w:pPr>
              <w:jc w:val="right"/>
              <w:ind w:right="159"/>
              <w:spacing w:after="0"/>
              <w:rPr>
                <w:sz w:val="20"/>
                <w:szCs w:val="20"/>
                <w:color w:val="auto"/>
              </w:rPr>
            </w:pPr>
            <w:r>
              <w:rPr>
                <w:rFonts w:ascii="Arial" w:cs="Arial" w:eastAsia="Arial" w:hAnsi="Arial"/>
                <w:sz w:val="17"/>
                <w:szCs w:val="17"/>
                <w:color w:val="auto"/>
              </w:rPr>
              <w:t>12.5</w:t>
            </w:r>
          </w:p>
        </w:tc>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6,453</w:t>
            </w:r>
          </w:p>
        </w:tc>
        <w:tc>
          <w:tcPr>
            <w:tcW w:w="1540" w:type="dxa"/>
            <w:vAlign w:val="bottom"/>
            <w:gridSpan w:val="3"/>
            <w:shd w:val="clear" w:color="auto" w:fill="CCEEFF"/>
          </w:tcPr>
          <w:p>
            <w:pPr>
              <w:jc w:val="right"/>
              <w:ind w:right="135"/>
              <w:spacing w:after="0"/>
              <w:rPr>
                <w:sz w:val="20"/>
                <w:szCs w:val="20"/>
                <w:color w:val="auto"/>
              </w:rPr>
            </w:pPr>
            <w:r>
              <w:rPr>
                <w:rFonts w:ascii="Arial" w:cs="Arial" w:eastAsia="Arial" w:hAnsi="Arial"/>
                <w:sz w:val="17"/>
                <w:szCs w:val="17"/>
                <w:color w:val="auto"/>
              </w:rPr>
              <w:t>12.0</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57,724</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3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53,666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w:t>
            </w:r>
          </w:p>
        </w:tc>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21,742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37.7 %</w:t>
            </w: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18,543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34.6 %</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0" w:type="dxa"/>
            <w:vAlign w:val="bottom"/>
          </w:tcPr>
          <w:p>
            <w:pPr>
              <w:ind w:left="20"/>
              <w:spacing w:after="0"/>
              <w:rPr>
                <w:sz w:val="20"/>
                <w:szCs w:val="20"/>
                <w:color w:val="auto"/>
              </w:rPr>
            </w:pPr>
            <w:r>
              <w:rPr>
                <w:rFonts w:ascii="Arial" w:cs="Arial" w:eastAsia="Arial" w:hAnsi="Arial"/>
                <w:sz w:val="17"/>
                <w:szCs w:val="17"/>
                <w:color w:val="auto"/>
              </w:rPr>
              <w:t>(1)</w:t>
            </w:r>
          </w:p>
        </w:tc>
        <w:tc>
          <w:tcPr>
            <w:tcW w:w="4800" w:type="dxa"/>
            <w:vAlign w:val="bottom"/>
          </w:tcPr>
          <w:p>
            <w:pPr>
              <w:ind w:left="20"/>
              <w:spacing w:after="0"/>
              <w:rPr>
                <w:sz w:val="20"/>
                <w:szCs w:val="20"/>
                <w:color w:val="auto"/>
              </w:rPr>
            </w:pPr>
            <w:r>
              <w:rPr>
                <w:rFonts w:ascii="Arial" w:cs="Arial" w:eastAsia="Arial" w:hAnsi="Arial"/>
                <w:sz w:val="17"/>
                <w:szCs w:val="17"/>
                <w:color w:val="auto"/>
              </w:rPr>
              <w:t>Other Americas *</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955</w:t>
            </w:r>
          </w:p>
        </w:tc>
        <w:tc>
          <w:tcPr>
            <w:tcW w:w="1560" w:type="dxa"/>
            <w:vAlign w:val="bottom"/>
            <w:gridSpan w:val="3"/>
          </w:tcPr>
          <w:p>
            <w:pPr>
              <w:jc w:val="right"/>
              <w:spacing w:after="0"/>
              <w:rPr>
                <w:sz w:val="20"/>
                <w:szCs w:val="20"/>
                <w:color w:val="auto"/>
              </w:rPr>
            </w:pPr>
            <w:r>
              <w:rPr>
                <w:rFonts w:ascii="Arial" w:cs="Arial" w:eastAsia="Arial" w:hAnsi="Arial"/>
                <w:sz w:val="17"/>
                <w:szCs w:val="17"/>
                <w:color w:val="auto"/>
              </w:rPr>
              <w:t>1.7 %</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694</w:t>
            </w:r>
          </w:p>
        </w:tc>
        <w:tc>
          <w:tcPr>
            <w:tcW w:w="1540" w:type="dxa"/>
            <w:vAlign w:val="bottom"/>
            <w:gridSpan w:val="3"/>
          </w:tcPr>
          <w:p>
            <w:pPr>
              <w:jc w:val="right"/>
              <w:spacing w:after="0"/>
              <w:rPr>
                <w:sz w:val="20"/>
                <w:szCs w:val="20"/>
                <w:color w:val="auto"/>
              </w:rPr>
            </w:pPr>
            <w:r>
              <w:rPr>
                <w:rFonts w:ascii="Arial" w:cs="Arial" w:eastAsia="Arial" w:hAnsi="Arial"/>
                <w:sz w:val="17"/>
                <w:szCs w:val="17"/>
                <w:color w:val="auto"/>
              </w:rPr>
              <w:t>1.3 %</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w:t>
            </w:r>
          </w:p>
        </w:tc>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China</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16,873</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29.2 %</w:t>
            </w:r>
          </w:p>
        </w:tc>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16,696</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31.1 %</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60" w:type="dxa"/>
            <w:vAlign w:val="bottom"/>
          </w:tcPr>
          <w:p>
            <w:pPr>
              <w:ind w:left="20"/>
              <w:spacing w:after="0"/>
              <w:rPr>
                <w:sz w:val="20"/>
                <w:szCs w:val="20"/>
                <w:color w:val="auto"/>
              </w:rPr>
            </w:pPr>
            <w:r>
              <w:rPr>
                <w:rFonts w:ascii="Arial" w:cs="Arial" w:eastAsia="Arial" w:hAnsi="Arial"/>
                <w:sz w:val="17"/>
                <w:szCs w:val="17"/>
                <w:color w:val="auto"/>
              </w:rPr>
              <w:t>(2)</w:t>
            </w:r>
          </w:p>
        </w:tc>
        <w:tc>
          <w:tcPr>
            <w:tcW w:w="4800" w:type="dxa"/>
            <w:vAlign w:val="bottom"/>
          </w:tcPr>
          <w:p>
            <w:pPr>
              <w:ind w:left="20"/>
              <w:spacing w:after="0"/>
              <w:rPr>
                <w:sz w:val="20"/>
                <w:szCs w:val="20"/>
                <w:color w:val="auto"/>
              </w:rPr>
            </w:pPr>
            <w:r>
              <w:rPr>
                <w:rFonts w:ascii="Arial" w:cs="Arial" w:eastAsia="Arial" w:hAnsi="Arial"/>
                <w:sz w:val="17"/>
                <w:szCs w:val="17"/>
                <w:color w:val="auto"/>
              </w:rPr>
              <w:t>Korea</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5,627</w:t>
            </w:r>
          </w:p>
        </w:tc>
        <w:tc>
          <w:tcPr>
            <w:tcW w:w="1560" w:type="dxa"/>
            <w:vAlign w:val="bottom"/>
            <w:gridSpan w:val="3"/>
          </w:tcPr>
          <w:p>
            <w:pPr>
              <w:jc w:val="right"/>
              <w:spacing w:after="0"/>
              <w:rPr>
                <w:sz w:val="20"/>
                <w:szCs w:val="20"/>
                <w:color w:val="auto"/>
              </w:rPr>
            </w:pPr>
            <w:r>
              <w:rPr>
                <w:rFonts w:ascii="Arial" w:cs="Arial" w:eastAsia="Arial" w:hAnsi="Arial"/>
                <w:sz w:val="17"/>
                <w:szCs w:val="17"/>
                <w:color w:val="auto"/>
              </w:rPr>
              <w:t>9.7 %</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6,429</w:t>
            </w:r>
          </w:p>
        </w:tc>
        <w:tc>
          <w:tcPr>
            <w:tcW w:w="1540" w:type="dxa"/>
            <w:vAlign w:val="bottom"/>
            <w:gridSpan w:val="3"/>
          </w:tcPr>
          <w:p>
            <w:pPr>
              <w:jc w:val="right"/>
              <w:spacing w:after="0"/>
              <w:rPr>
                <w:sz w:val="20"/>
                <w:szCs w:val="20"/>
                <w:color w:val="auto"/>
              </w:rPr>
            </w:pPr>
            <w:r>
              <w:rPr>
                <w:rFonts w:ascii="Arial" w:cs="Arial" w:eastAsia="Arial" w:hAnsi="Arial"/>
                <w:sz w:val="17"/>
                <w:szCs w:val="17"/>
                <w:color w:val="auto"/>
              </w:rPr>
              <w:t>12.0 %</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w:t>
            </w:r>
          </w:p>
        </w:tc>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Asia Pacific*</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5,308</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9.2 %</w:t>
            </w:r>
          </w:p>
        </w:tc>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4,851</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9.0 %</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Other countries individually less than 10%</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property and equipment, net by geographic area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4"/>
                <w:szCs w:val="14"/>
                <w:b w:val="1"/>
                <w:bCs w:val="1"/>
                <w:color w:val="auto"/>
              </w:rPr>
              <w:t>As of December 31,</w:t>
            </w: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r>
      <w:tr>
        <w:trPr>
          <w:trHeight w:val="196"/>
        </w:trPr>
        <w:tc>
          <w:tcPr>
            <w:tcW w:w="48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335"/>
              <w:spacing w:after="0"/>
              <w:rPr>
                <w:sz w:val="20"/>
                <w:szCs w:val="20"/>
                <w:color w:val="auto"/>
              </w:rPr>
            </w:pPr>
            <w:r>
              <w:rPr>
                <w:rFonts w:ascii="Arial" w:cs="Arial" w:eastAsia="Arial" w:hAnsi="Arial"/>
                <w:sz w:val="14"/>
                <w:szCs w:val="14"/>
                <w:b w:val="1"/>
                <w:bCs w:val="1"/>
                <w:color w:val="auto"/>
                <w:w w:val="96"/>
              </w:rPr>
              <w:t>2023</w:t>
            </w: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52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5"/>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4,671</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81.3 %</w:t>
            </w:r>
          </w:p>
        </w:tc>
      </w:tr>
      <w:tr>
        <w:trPr>
          <w:trHeight w:val="227"/>
        </w:trPr>
        <w:tc>
          <w:tcPr>
            <w:tcW w:w="4860" w:type="dxa"/>
            <w:vAlign w:val="bottom"/>
          </w:tcPr>
          <w:p>
            <w:pPr>
              <w:ind w:left="20"/>
              <w:spacing w:after="0"/>
              <w:rPr>
                <w:sz w:val="20"/>
                <w:szCs w:val="20"/>
                <w:color w:val="auto"/>
              </w:rPr>
            </w:pPr>
            <w:r>
              <w:rPr>
                <w:rFonts w:ascii="Arial" w:cs="Arial" w:eastAsia="Arial" w:hAnsi="Arial"/>
                <w:sz w:val="17"/>
                <w:szCs w:val="17"/>
                <w:color w:val="auto"/>
              </w:rPr>
              <w:t>France</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1,230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30.6 %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1,066</w:t>
            </w:r>
          </w:p>
        </w:tc>
        <w:tc>
          <w:tcPr>
            <w:tcW w:w="1740" w:type="dxa"/>
            <w:vAlign w:val="bottom"/>
            <w:gridSpan w:val="3"/>
          </w:tcPr>
          <w:p>
            <w:pPr>
              <w:jc w:val="right"/>
              <w:spacing w:after="0"/>
              <w:rPr>
                <w:sz w:val="20"/>
                <w:szCs w:val="20"/>
                <w:color w:val="auto"/>
              </w:rPr>
            </w:pPr>
            <w:r>
              <w:rPr>
                <w:rFonts w:ascii="Arial" w:cs="Arial" w:eastAsia="Arial" w:hAnsi="Arial"/>
                <w:sz w:val="17"/>
                <w:szCs w:val="17"/>
                <w:color w:val="auto"/>
              </w:rPr>
              <w:t>18.6 %</w:t>
            </w:r>
          </w:p>
        </w:tc>
      </w:tr>
      <w:tr>
        <w:trPr>
          <w:trHeight w:val="232"/>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0.7 %</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0.1 %</w:t>
            </w:r>
          </w:p>
        </w:tc>
      </w:tr>
      <w:tr>
        <w:trPr>
          <w:trHeight w:val="221"/>
        </w:trPr>
        <w:tc>
          <w:tcPr>
            <w:tcW w:w="48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4,019</w:t>
            </w:r>
          </w:p>
        </w:tc>
        <w:tc>
          <w:tcPr>
            <w:tcW w:w="8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5,745</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r>
      <w:tr>
        <w:trPr>
          <w:trHeight w:val="23"/>
        </w:trPr>
        <w:tc>
          <w:tcPr>
            <w:tcW w:w="4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780"/>
        <w:spacing w:after="0" w:line="43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Disclosures </w:t>
      </w:r>
      <w:r>
        <w:rPr>
          <w:rFonts w:ascii="Arial" w:cs="Arial" w:eastAsia="Arial" w:hAnsi="Arial"/>
          <w:sz w:val="18"/>
          <w:szCs w:val="18"/>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the end of the period covered by this Annual Report on Form 10-K.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Chief Executive Officer and Chief Financial Officer concluded that, as of the end of the period covered by this Annual Report on Form 10-K, our disclosure controls and procedures were effective at the reasonable assurance level.</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such term is defined in Exchange Act Rule 13a-15(f). Our internal control over financial reporting is designed to provide reasonable assurance regarding the reliability of financial reporting and the preparation of consolidated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Management has assessed the effectiveness of our internal control over financial reporting based on the framework set forth by the Committee of Sponsoring Organizations of the Treadway Commission (COSO) in Internal Control-Integrated Framework (2013 framework). Based on our evaluation, management has concluded that our internal control over financial reporting was effective at the reasonable assurance level as of December 31, 2024. This Annual Report does not include an attestation report by our independent registered public accounting firm regarding internal control over financial reporting. Management’s report was not subject to attestation by our registered public accounting firm pursuant to the rules of the SEC that permit us to provide only management’s report in this Annual Report.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required by Rules 13a-15(d) and 15d-15(d) of the Exchange Act that occurred during the quarter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Controls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8"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82" w:lineRule="exact"/>
        <w:rPr>
          <w:rFonts w:ascii="Arial" w:cs="Arial" w:eastAsia="Arial" w:hAnsi="Arial"/>
          <w:sz w:val="17"/>
          <w:szCs w:val="17"/>
          <w:color w:val="auto"/>
        </w:rPr>
      </w:pPr>
    </w:p>
    <w:p>
      <w:pPr>
        <w:ind w:left="260" w:hanging="252"/>
        <w:spacing w:after="0"/>
        <w:tabs>
          <w:tab w:leader="none" w:pos="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Insider Trading Arrangements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quarter ended December 31, 2024, none of our directors or officers (as defined in Rule 16a-1(f) under the Securities Exchange Act of 1934, as amended) adopted, modified or terminated a “Rule 10b5-1 trading arrangement” or a “non-Rule 10b5-1 trading arrangement”, as each term is defined in Item 408(a) of Regulation S-K.</w:t>
      </w:r>
    </w:p>
    <w:p>
      <w:pPr>
        <w:spacing w:after="0" w:line="177" w:lineRule="exact"/>
        <w:rPr>
          <w:sz w:val="20"/>
          <w:szCs w:val="20"/>
          <w:color w:val="auto"/>
        </w:rPr>
      </w:pPr>
    </w:p>
    <w:p>
      <w:pPr>
        <w:ind w:right="4600"/>
        <w:spacing w:after="0" w:line="475"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None.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have adopted a code of ethics for directors, officers (including our principal executive officer, principal financial officer and principal accounting officer) and employees, known as the Code of Business Conduct and Ethics. This code is publicly available on our website at ir.arteris.com under the Corporate Governance section. If we make any amendments to this code other than technical, administrative or other non-substantive amendments, or grant any waivers, including implicit waivers, from a provision of this code we will disclose the nature of the amendment or waiver, its effective date and to whom it applies on our website at arteris.com or in a Current Report on Form 8-K filed with the SEC.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remaining information required by this item, including information about our Directors, Executive Officers and Audit Committee, is incorporated by reference to the definitive Proxy Statement for our 2025 Annual Meeting of Stockholders, which will be filed with the SEC no later than 120 days after December 31, 2024.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information required by this Item will be set forth in the section headed “Executive Compensation” in our Proxy Statement and is incorporated in this Annual Report by reference.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 and Management and Related Stockholder Matters</w:t>
      </w:r>
    </w:p>
    <w:p>
      <w:pPr>
        <w:spacing w:after="0" w:line="168"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The information required by this Item will be set forth in the section headed “Security Ownership of Certain Beneficial Owners and Management” in our Proxy Statement and is incorporated in this Annual Report by reference.</w:t>
      </w:r>
    </w:p>
    <w:p>
      <w:pPr>
        <w:spacing w:after="0" w:line="10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Information regarding our equity compensation plans will be set forth in the section headed “Executive Compensation” in our Proxy Statement and is incorporated in this Annual Report by reference.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Party Transactions</w:t>
      </w:r>
    </w:p>
    <w:p>
      <w:pPr>
        <w:spacing w:after="0" w:line="168"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color w:val="auto"/>
        </w:rPr>
        <w:t>The information required by this Item will be set forth in the section headed “Transactions with Related Persons” in our Proxy Statement and is incorporated in this Annual Report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8"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information required by this Item will be set forth in the section headed “—Ratification of Selection of Independent Registered Public Accounting Firm” in our Proxy Statement and is incorporated in this Annual Report by reference.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documents are filed as part of this Annual Report on Form 10-K:</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Consolidated Financial Statements</w:t>
      </w:r>
    </w:p>
    <w:p>
      <w:pPr>
        <w:spacing w:after="0" w:line="250" w:lineRule="exact"/>
        <w:rPr>
          <w:sz w:val="20"/>
          <w:szCs w:val="20"/>
          <w:color w:val="auto"/>
        </w:rPr>
      </w:pPr>
    </w:p>
    <w:p>
      <w:pPr>
        <w:spacing w:after="0" w:line="298" w:lineRule="auto"/>
        <w:rPr>
          <w:sz w:val="20"/>
          <w:szCs w:val="20"/>
          <w:color w:val="auto"/>
        </w:rPr>
      </w:pPr>
      <w:r>
        <w:rPr>
          <w:rFonts w:ascii="Arial" w:cs="Arial" w:eastAsia="Arial" w:hAnsi="Arial"/>
          <w:sz w:val="17"/>
          <w:szCs w:val="17"/>
          <w:i w:val="1"/>
          <w:iCs w:val="1"/>
          <w:color w:val="auto"/>
        </w:rPr>
        <w:t>The consolidated financial statements are filed as part of this Annual Report on Form 10-K under “Item 8. Financial Statements and Supplementary Data.”</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 Financial Statement Schedules</w:t>
      </w:r>
    </w:p>
    <w:p>
      <w:pPr>
        <w:spacing w:after="0" w:line="250" w:lineRule="exact"/>
        <w:rPr>
          <w:sz w:val="20"/>
          <w:szCs w:val="20"/>
          <w:color w:val="auto"/>
        </w:rPr>
      </w:pPr>
    </w:p>
    <w:p>
      <w:pPr>
        <w:ind w:right="520"/>
        <w:spacing w:after="0" w:line="282" w:lineRule="auto"/>
        <w:rPr>
          <w:sz w:val="20"/>
          <w:szCs w:val="20"/>
          <w:color w:val="auto"/>
        </w:rPr>
      </w:pPr>
      <w:r>
        <w:rPr>
          <w:rFonts w:ascii="Arial" w:cs="Arial" w:eastAsia="Arial" w:hAnsi="Arial"/>
          <w:sz w:val="17"/>
          <w:szCs w:val="17"/>
          <w:i w:val="1"/>
          <w:iCs w:val="1"/>
          <w:color w:val="auto"/>
        </w:rPr>
        <w:t>The financial statement schedules are omitted because they are either not applicable or the information required is presented in the financial statements and notes thereto under “Item 8. Financial Statements and Supplementary Data.”</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 Exhibits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documents are filed, furnished, or incorporated by reference as part of this Annual Report on Form 10-K.</w:t>
      </w:r>
    </w:p>
    <w:p>
      <w:pPr>
        <w:spacing w:after="0" w:line="222" w:lineRule="exact"/>
        <w:rPr>
          <w:sz w:val="20"/>
          <w:szCs w:val="20"/>
          <w:color w:val="auto"/>
        </w:rPr>
      </w:pPr>
    </w:p>
    <w:p>
      <w:pPr>
        <w:ind w:left="60"/>
        <w:spacing w:after="0"/>
        <w:tabs>
          <w:tab w:leader="none" w:pos="3040" w:val="left"/>
          <w:tab w:leader="none" w:pos="7020" w:val="left"/>
          <w:tab w:leader="none" w:pos="7500" w:val="left"/>
          <w:tab w:leader="none" w:pos="8140" w:val="left"/>
          <w:tab w:leader="none" w:pos="91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 OF EXHIBIT</w:t>
      </w:r>
      <w:r>
        <w:rPr>
          <w:sz w:val="20"/>
          <w:szCs w:val="20"/>
          <w:color w:val="auto"/>
        </w:rPr>
        <w:tab/>
      </w:r>
      <w:r>
        <w:rPr>
          <w:rFonts w:ascii="Arial" w:cs="Arial" w:eastAsia="Arial" w:hAnsi="Arial"/>
          <w:sz w:val="14"/>
          <w:szCs w:val="14"/>
          <w:b w:val="1"/>
          <w:bCs w:val="1"/>
          <w:color w:val="auto"/>
        </w:rPr>
        <w:t>Form</w:t>
        <w:tab/>
        <w:t>Exhibit</w:t>
        <w:tab/>
        <w:t>Filing Date</w:t>
      </w:r>
      <w:r>
        <w:rPr>
          <w:sz w:val="20"/>
          <w:szCs w:val="20"/>
          <w:color w:val="auto"/>
        </w:rPr>
        <w:tab/>
      </w:r>
      <w:r>
        <w:rPr>
          <w:rFonts w:ascii="Arial" w:cs="Arial" w:eastAsia="Arial" w:hAnsi="Arial"/>
          <w:sz w:val="14"/>
          <w:szCs w:val="14"/>
          <w:b w:val="1"/>
          <w:bCs w:val="1"/>
          <w:color w:val="auto"/>
        </w:rPr>
        <w:t>FILED</w:t>
      </w:r>
    </w:p>
    <w:p>
      <w:pPr>
        <w:spacing w:after="0" w:line="29"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2407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p>
      <w:pPr>
        <w:spacing w:after="0" w:line="6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3.1</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3.2</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4.1</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10.1</w:t>
      </w:r>
    </w:p>
    <w:p>
      <w:pPr>
        <w:spacing w:after="0" w:line="244" w:lineRule="exact"/>
        <w:rPr>
          <w:sz w:val="20"/>
          <w:szCs w:val="20"/>
          <w:color w:val="auto"/>
        </w:rPr>
      </w:pPr>
    </w:p>
    <w:p>
      <w:pPr>
        <w:jc w:val="center"/>
        <w:ind w:left="280"/>
        <w:spacing w:after="0"/>
        <w:rPr>
          <w:sz w:val="20"/>
          <w:szCs w:val="20"/>
          <w:color w:val="auto"/>
        </w:rPr>
      </w:pPr>
      <w:r>
        <w:rPr>
          <w:rFonts w:ascii="Arial" w:cs="Arial" w:eastAsia="Arial" w:hAnsi="Arial"/>
          <w:sz w:val="14"/>
          <w:szCs w:val="14"/>
          <w:color w:val="auto"/>
        </w:rPr>
        <w:t>10.2</w:t>
      </w:r>
    </w:p>
    <w:p>
      <w:pPr>
        <w:spacing w:after="0" w:line="244" w:lineRule="exact"/>
        <w:rPr>
          <w:sz w:val="20"/>
          <w:szCs w:val="20"/>
          <w:color w:val="auto"/>
        </w:rPr>
      </w:pPr>
    </w:p>
    <w:p>
      <w:pPr>
        <w:jc w:val="center"/>
        <w:ind w:left="280"/>
        <w:spacing w:after="0"/>
        <w:rPr>
          <w:sz w:val="20"/>
          <w:szCs w:val="20"/>
          <w:color w:val="auto"/>
        </w:rPr>
      </w:pPr>
      <w:r>
        <w:rPr>
          <w:rFonts w:ascii="Arial" w:cs="Arial" w:eastAsia="Arial" w:hAnsi="Arial"/>
          <w:sz w:val="14"/>
          <w:szCs w:val="14"/>
          <w:color w:val="auto"/>
        </w:rPr>
        <w:t>10.3†</w:t>
      </w:r>
    </w:p>
    <w:p>
      <w:pPr>
        <w:spacing w:after="0" w:line="244" w:lineRule="exact"/>
        <w:rPr>
          <w:sz w:val="20"/>
          <w:szCs w:val="20"/>
          <w:color w:val="auto"/>
        </w:rPr>
      </w:pPr>
    </w:p>
    <w:p>
      <w:pPr>
        <w:jc w:val="center"/>
        <w:ind w:left="280"/>
        <w:spacing w:after="0"/>
        <w:rPr>
          <w:sz w:val="20"/>
          <w:szCs w:val="20"/>
          <w:color w:val="auto"/>
        </w:rPr>
      </w:pPr>
      <w:r>
        <w:rPr>
          <w:rFonts w:ascii="Arial" w:cs="Arial" w:eastAsia="Arial" w:hAnsi="Arial"/>
          <w:sz w:val="14"/>
          <w:szCs w:val="14"/>
          <w:color w:val="auto"/>
        </w:rPr>
        <w:t>10.4†</w:t>
      </w: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10.5#</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10.6#</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10.7#</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10.8#</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10.9#</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10.10#</w:t>
      </w:r>
    </w:p>
    <w:p>
      <w:pPr>
        <w:spacing w:after="0" w:line="69" w:lineRule="exact"/>
        <w:rPr>
          <w:sz w:val="20"/>
          <w:szCs w:val="20"/>
          <w:color w:val="auto"/>
        </w:rPr>
      </w:pPr>
    </w:p>
    <w:p>
      <w:pPr>
        <w:jc w:val="center"/>
        <w:ind w:left="280"/>
        <w:spacing w:after="0"/>
        <w:rPr>
          <w:sz w:val="20"/>
          <w:szCs w:val="20"/>
          <w:color w:val="auto"/>
        </w:rPr>
      </w:pPr>
      <w:r>
        <w:rPr>
          <w:rFonts w:ascii="Arial" w:cs="Arial" w:eastAsia="Arial" w:hAnsi="Arial"/>
          <w:sz w:val="14"/>
          <w:szCs w:val="14"/>
          <w:color w:val="auto"/>
        </w:rPr>
        <w:t>10.11#</w:t>
      </w:r>
    </w:p>
    <w:p>
      <w:pPr>
        <w:spacing w:after="0" w:line="24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10.12#</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10.13#</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10.14#</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10.15#</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10.16#</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rFonts w:ascii="Arial" w:cs="Arial" w:eastAsia="Arial" w:hAnsi="Arial"/>
          <w:sz w:val="14"/>
          <w:szCs w:val="14"/>
          <w:u w:val="single" w:color="auto"/>
          <w:color w:val="0000FF"/>
        </w:rPr>
      </w:pPr>
      <w:hyperlink r:id="rId136">
        <w:r>
          <w:rPr>
            <w:rFonts w:ascii="Arial" w:cs="Arial" w:eastAsia="Arial" w:hAnsi="Arial"/>
            <w:sz w:val="14"/>
            <w:szCs w:val="14"/>
            <w:u w:val="single" w:color="auto"/>
            <w:color w:val="0000FF"/>
          </w:rPr>
          <w:t>Amended and Restated Certificate of Incorporation of Arteris, Inc.</w:t>
        </w:r>
      </w:hyperlink>
    </w:p>
    <w:p>
      <w:pPr>
        <w:spacing w:after="0" w:line="69" w:lineRule="exact"/>
        <w:rPr>
          <w:sz w:val="20"/>
          <w:szCs w:val="20"/>
          <w:color w:val="auto"/>
        </w:rPr>
      </w:pPr>
    </w:p>
    <w:p>
      <w:pPr>
        <w:spacing w:after="0"/>
        <w:rPr>
          <w:rFonts w:ascii="Arial" w:cs="Arial" w:eastAsia="Arial" w:hAnsi="Arial"/>
          <w:sz w:val="14"/>
          <w:szCs w:val="14"/>
          <w:u w:val="single" w:color="auto"/>
          <w:color w:val="0000FF"/>
        </w:rPr>
      </w:pPr>
      <w:hyperlink r:id="rId137">
        <w:r>
          <w:rPr>
            <w:rFonts w:ascii="Arial" w:cs="Arial" w:eastAsia="Arial" w:hAnsi="Arial"/>
            <w:sz w:val="14"/>
            <w:szCs w:val="14"/>
            <w:u w:val="single" w:color="auto"/>
            <w:color w:val="0000FF"/>
          </w:rPr>
          <w:t>Amended and Restated Bylaws of Arteris, Inc.</w:t>
        </w:r>
      </w:hyperlink>
    </w:p>
    <w:p>
      <w:pPr>
        <w:spacing w:after="0" w:line="69" w:lineRule="exact"/>
        <w:rPr>
          <w:sz w:val="20"/>
          <w:szCs w:val="20"/>
          <w:color w:val="auto"/>
        </w:rPr>
      </w:pPr>
    </w:p>
    <w:p>
      <w:pPr>
        <w:spacing w:after="0"/>
        <w:rPr>
          <w:rFonts w:ascii="Arial" w:cs="Arial" w:eastAsia="Arial" w:hAnsi="Arial"/>
          <w:sz w:val="14"/>
          <w:szCs w:val="14"/>
          <w:u w:val="single" w:color="auto"/>
          <w:color w:val="0000FF"/>
        </w:rPr>
      </w:pPr>
      <w:hyperlink r:id="rId138">
        <w:r>
          <w:rPr>
            <w:rFonts w:ascii="Arial" w:cs="Arial" w:eastAsia="Arial" w:hAnsi="Arial"/>
            <w:sz w:val="14"/>
            <w:szCs w:val="14"/>
            <w:u w:val="single" w:color="auto"/>
            <w:color w:val="0000FF"/>
          </w:rPr>
          <w:t>Specimen Stock Certificate evidencing the shares of common stock.</w:t>
        </w:r>
      </w:hyperlink>
    </w:p>
    <w:p>
      <w:pPr>
        <w:spacing w:after="0" w:line="69" w:lineRule="exact"/>
        <w:rPr>
          <w:sz w:val="20"/>
          <w:szCs w:val="20"/>
          <w:color w:val="auto"/>
        </w:rPr>
      </w:pPr>
    </w:p>
    <w:p>
      <w:pPr>
        <w:ind w:right="160"/>
        <w:spacing w:after="0" w:line="285" w:lineRule="auto"/>
        <w:rPr>
          <w:rFonts w:ascii="Arial" w:cs="Arial" w:eastAsia="Arial" w:hAnsi="Arial"/>
          <w:sz w:val="14"/>
          <w:szCs w:val="14"/>
          <w:u w:val="single" w:color="auto"/>
          <w:color w:val="0000FF"/>
        </w:rPr>
      </w:pPr>
      <w:hyperlink r:id="rId139">
        <w:r>
          <w:rPr>
            <w:rFonts w:ascii="Arial" w:cs="Arial" w:eastAsia="Arial" w:hAnsi="Arial"/>
            <w:sz w:val="14"/>
            <w:szCs w:val="14"/>
            <w:u w:val="single" w:color="auto"/>
            <w:color w:val="0000FF"/>
          </w:rPr>
          <w:t>Investors’ Rights Agreement, dated February 5, 2016, by and among Arteris, Inc. and the</w:t>
        </w:r>
      </w:hyperlink>
      <w:r>
        <w:rPr>
          <w:rFonts w:ascii="Arial" w:cs="Arial" w:eastAsia="Arial" w:hAnsi="Arial"/>
          <w:sz w:val="14"/>
          <w:szCs w:val="14"/>
          <w:u w:val="single" w:color="auto"/>
          <w:color w:val="0000FF"/>
        </w:rPr>
        <w:t xml:space="preserve"> </w:t>
      </w:r>
      <w:hyperlink r:id="rId139">
        <w:r>
          <w:rPr>
            <w:rFonts w:ascii="Arial" w:cs="Arial" w:eastAsia="Arial" w:hAnsi="Arial"/>
            <w:sz w:val="14"/>
            <w:szCs w:val="14"/>
            <w:u w:val="single" w:color="auto"/>
            <w:color w:val="0000FF"/>
          </w:rPr>
          <w:t>investors listed therein.</w:t>
        </w:r>
      </w:hyperlink>
    </w:p>
    <w:p>
      <w:pPr>
        <w:spacing w:after="0" w:line="23" w:lineRule="exact"/>
        <w:rPr>
          <w:sz w:val="20"/>
          <w:szCs w:val="20"/>
          <w:color w:val="auto"/>
        </w:rPr>
      </w:pPr>
    </w:p>
    <w:p>
      <w:pPr>
        <w:ind w:right="140"/>
        <w:spacing w:after="0" w:line="285" w:lineRule="auto"/>
        <w:rPr>
          <w:rFonts w:ascii="Arial" w:cs="Arial" w:eastAsia="Arial" w:hAnsi="Arial"/>
          <w:sz w:val="14"/>
          <w:szCs w:val="14"/>
          <w:u w:val="single" w:color="auto"/>
          <w:color w:val="0000FF"/>
        </w:rPr>
      </w:pPr>
      <w:hyperlink r:id="rId140">
        <w:r>
          <w:rPr>
            <w:rFonts w:ascii="Arial" w:cs="Arial" w:eastAsia="Arial" w:hAnsi="Arial"/>
            <w:sz w:val="14"/>
            <w:szCs w:val="14"/>
            <w:u w:val="single" w:color="auto"/>
            <w:color w:val="0000FF"/>
          </w:rPr>
          <w:t>Amended and Restated Business Financing Agreement, by and between Arteris, Inc. and</w:t>
        </w:r>
      </w:hyperlink>
      <w:r>
        <w:rPr>
          <w:rFonts w:ascii="Arial" w:cs="Arial" w:eastAsia="Arial" w:hAnsi="Arial"/>
          <w:sz w:val="14"/>
          <w:szCs w:val="14"/>
          <w:u w:val="single" w:color="auto"/>
          <w:color w:val="0000FF"/>
        </w:rPr>
        <w:t xml:space="preserve"> </w:t>
      </w:r>
      <w:hyperlink r:id="rId140">
        <w:r>
          <w:rPr>
            <w:rFonts w:ascii="Arial" w:cs="Arial" w:eastAsia="Arial" w:hAnsi="Arial"/>
            <w:sz w:val="14"/>
            <w:szCs w:val="14"/>
            <w:u w:val="single" w:color="auto"/>
            <w:color w:val="0000FF"/>
          </w:rPr>
          <w:t>Western Alliance Bank dated as of December 16, 2020.</w:t>
        </w:r>
      </w:hyperlink>
    </w:p>
    <w:p>
      <w:pPr>
        <w:spacing w:after="0" w:line="23" w:lineRule="exact"/>
        <w:rPr>
          <w:sz w:val="20"/>
          <w:szCs w:val="20"/>
          <w:color w:val="auto"/>
        </w:rPr>
      </w:pPr>
    </w:p>
    <w:p>
      <w:pPr>
        <w:ind w:right="520"/>
        <w:spacing w:after="0" w:line="285" w:lineRule="auto"/>
        <w:rPr>
          <w:rFonts w:ascii="Arial" w:cs="Arial" w:eastAsia="Arial" w:hAnsi="Arial"/>
          <w:sz w:val="14"/>
          <w:szCs w:val="14"/>
          <w:u w:val="single" w:color="auto"/>
          <w:color w:val="0000FF"/>
        </w:rPr>
      </w:pPr>
      <w:hyperlink r:id="rId141">
        <w:r>
          <w:rPr>
            <w:rFonts w:ascii="Arial" w:cs="Arial" w:eastAsia="Arial" w:hAnsi="Arial"/>
            <w:sz w:val="14"/>
            <w:szCs w:val="14"/>
            <w:u w:val="single" w:color="auto"/>
            <w:color w:val="0000FF"/>
          </w:rPr>
          <w:t>License Agreement, dated as of October 11, 2013, by and between Arteris, Inc. and</w:t>
        </w:r>
      </w:hyperlink>
      <w:r>
        <w:rPr>
          <w:rFonts w:ascii="Arial" w:cs="Arial" w:eastAsia="Arial" w:hAnsi="Arial"/>
          <w:sz w:val="14"/>
          <w:szCs w:val="14"/>
          <w:u w:val="single" w:color="auto"/>
          <w:color w:val="0000FF"/>
        </w:rPr>
        <w:t xml:space="preserve"> </w:t>
      </w:r>
      <w:hyperlink r:id="rId141">
        <w:r>
          <w:rPr>
            <w:rFonts w:ascii="Arial" w:cs="Arial" w:eastAsia="Arial" w:hAnsi="Arial"/>
            <w:sz w:val="14"/>
            <w:szCs w:val="14"/>
            <w:u w:val="single" w:color="auto"/>
            <w:color w:val="0000FF"/>
          </w:rPr>
          <w:t>Qualcomm Technologies, Inc.</w:t>
        </w:r>
      </w:hyperlink>
    </w:p>
    <w:p>
      <w:pPr>
        <w:spacing w:after="0" w:line="23" w:lineRule="exact"/>
        <w:rPr>
          <w:sz w:val="20"/>
          <w:szCs w:val="20"/>
          <w:color w:val="auto"/>
        </w:rPr>
      </w:pPr>
    </w:p>
    <w:p>
      <w:pPr>
        <w:spacing w:after="0" w:line="261" w:lineRule="auto"/>
        <w:rPr>
          <w:rFonts w:ascii="Arial" w:cs="Arial" w:eastAsia="Arial" w:hAnsi="Arial"/>
          <w:sz w:val="14"/>
          <w:szCs w:val="14"/>
          <w:u w:val="single" w:color="auto"/>
          <w:color w:val="0000FF"/>
        </w:rPr>
      </w:pPr>
      <w:hyperlink r:id="rId142">
        <w:r>
          <w:rPr>
            <w:rFonts w:ascii="Arial" w:cs="Arial" w:eastAsia="Arial" w:hAnsi="Arial"/>
            <w:sz w:val="14"/>
            <w:szCs w:val="14"/>
            <w:u w:val="single" w:color="auto"/>
            <w:color w:val="0000FF"/>
          </w:rPr>
          <w:t>Asset Purchase Agreement, dated as of October 9, 2013, by and among Qualcomm</w:t>
        </w:r>
      </w:hyperlink>
      <w:r>
        <w:rPr>
          <w:rFonts w:ascii="Arial" w:cs="Arial" w:eastAsia="Arial" w:hAnsi="Arial"/>
          <w:sz w:val="14"/>
          <w:szCs w:val="14"/>
          <w:u w:val="single" w:color="auto"/>
          <w:color w:val="0000FF"/>
        </w:rPr>
        <w:t xml:space="preserve"> </w:t>
      </w:r>
      <w:hyperlink r:id="rId142">
        <w:r>
          <w:rPr>
            <w:rFonts w:ascii="Arial" w:cs="Arial" w:eastAsia="Arial" w:hAnsi="Arial"/>
            <w:sz w:val="14"/>
            <w:szCs w:val="14"/>
            <w:u w:val="single" w:color="auto"/>
            <w:color w:val="0000FF"/>
          </w:rPr>
          <w:t>Technologies, Inc., Qualcomm France SARL, Arteris Holdings, Inc., Arteris, Inc. and Arteris,</w:t>
        </w:r>
      </w:hyperlink>
    </w:p>
    <w:p>
      <w:pPr>
        <w:spacing w:after="0" w:line="1" w:lineRule="exact"/>
        <w:rPr>
          <w:sz w:val="20"/>
          <w:szCs w:val="20"/>
          <w:color w:val="auto"/>
        </w:rPr>
      </w:pPr>
    </w:p>
    <w:p>
      <w:pPr>
        <w:spacing w:after="0"/>
        <w:rPr>
          <w:rFonts w:ascii="Arial" w:cs="Arial" w:eastAsia="Arial" w:hAnsi="Arial"/>
          <w:sz w:val="14"/>
          <w:szCs w:val="14"/>
          <w:u w:val="single" w:color="auto"/>
          <w:color w:val="0000FF"/>
        </w:rPr>
      </w:pPr>
      <w:hyperlink r:id="rId142">
        <w:r>
          <w:rPr>
            <w:rFonts w:ascii="Arial" w:cs="Arial" w:eastAsia="Arial" w:hAnsi="Arial"/>
            <w:sz w:val="14"/>
            <w:szCs w:val="14"/>
            <w:u w:val="single" w:color="auto"/>
            <w:color w:val="0000FF"/>
          </w:rPr>
          <w:t>SAS</w:t>
        </w:r>
      </w:hyperlink>
    </w:p>
    <w:p>
      <w:pPr>
        <w:spacing w:after="0" w:line="55" w:lineRule="exact"/>
        <w:rPr>
          <w:sz w:val="20"/>
          <w:szCs w:val="20"/>
          <w:color w:val="auto"/>
        </w:rPr>
      </w:pPr>
    </w:p>
    <w:p>
      <w:pPr>
        <w:spacing w:after="0"/>
        <w:rPr>
          <w:rFonts w:ascii="Arial" w:cs="Arial" w:eastAsia="Arial" w:hAnsi="Arial"/>
          <w:sz w:val="14"/>
          <w:szCs w:val="14"/>
          <w:u w:val="single" w:color="auto"/>
          <w:color w:val="0000FF"/>
        </w:rPr>
      </w:pPr>
      <w:hyperlink r:id="rId143">
        <w:r>
          <w:rPr>
            <w:rFonts w:ascii="Arial" w:cs="Arial" w:eastAsia="Arial" w:hAnsi="Arial"/>
            <w:sz w:val="14"/>
            <w:szCs w:val="14"/>
            <w:u w:val="single" w:color="auto"/>
            <w:color w:val="0000FF"/>
          </w:rPr>
          <w:t>Employment Agreement, by and between Arteris, Inc. and K. Charles Janac.</w:t>
        </w:r>
      </w:hyperlink>
    </w:p>
    <w:p>
      <w:pPr>
        <w:spacing w:after="0" w:line="69" w:lineRule="exact"/>
        <w:rPr>
          <w:sz w:val="20"/>
          <w:szCs w:val="20"/>
          <w:color w:val="auto"/>
        </w:rPr>
      </w:pPr>
    </w:p>
    <w:p>
      <w:pPr>
        <w:spacing w:after="0"/>
        <w:rPr>
          <w:rFonts w:ascii="Arial" w:cs="Arial" w:eastAsia="Arial" w:hAnsi="Arial"/>
          <w:sz w:val="14"/>
          <w:szCs w:val="14"/>
          <w:u w:val="single" w:color="auto"/>
          <w:color w:val="0000FF"/>
        </w:rPr>
      </w:pPr>
      <w:hyperlink r:id="rId144">
        <w:r>
          <w:rPr>
            <w:rFonts w:ascii="Arial" w:cs="Arial" w:eastAsia="Arial" w:hAnsi="Arial"/>
            <w:sz w:val="14"/>
            <w:szCs w:val="14"/>
            <w:u w:val="single" w:color="auto"/>
            <w:color w:val="0000FF"/>
          </w:rPr>
          <w:t>Employment Agreement, by and between Arteris IP SAS and Isabelle Geday.</w:t>
        </w:r>
      </w:hyperlink>
    </w:p>
    <w:p>
      <w:pPr>
        <w:spacing w:after="0" w:line="69" w:lineRule="exact"/>
        <w:rPr>
          <w:sz w:val="20"/>
          <w:szCs w:val="20"/>
          <w:color w:val="auto"/>
        </w:rPr>
      </w:pPr>
    </w:p>
    <w:p>
      <w:pPr>
        <w:spacing w:after="0"/>
        <w:rPr>
          <w:rFonts w:ascii="Arial" w:cs="Arial" w:eastAsia="Arial" w:hAnsi="Arial"/>
          <w:sz w:val="14"/>
          <w:szCs w:val="14"/>
          <w:u w:val="single" w:color="auto"/>
          <w:color w:val="0000FF"/>
        </w:rPr>
      </w:pPr>
      <w:hyperlink r:id="rId145">
        <w:r>
          <w:rPr>
            <w:rFonts w:ascii="Arial" w:cs="Arial" w:eastAsia="Arial" w:hAnsi="Arial"/>
            <w:sz w:val="14"/>
            <w:szCs w:val="14"/>
            <w:u w:val="single" w:color="auto"/>
            <w:color w:val="0000FF"/>
          </w:rPr>
          <w:t>Arteris, Inc. 2016 Equity Incentive Plan and related form agreements, as amended.</w:t>
        </w:r>
      </w:hyperlink>
    </w:p>
    <w:p>
      <w:pPr>
        <w:spacing w:after="0" w:line="69" w:lineRule="exact"/>
        <w:rPr>
          <w:sz w:val="20"/>
          <w:szCs w:val="20"/>
          <w:color w:val="auto"/>
        </w:rPr>
      </w:pPr>
    </w:p>
    <w:p>
      <w:pPr>
        <w:ind w:right="280"/>
        <w:spacing w:after="0" w:line="285" w:lineRule="auto"/>
        <w:rPr>
          <w:rFonts w:ascii="Arial" w:cs="Arial" w:eastAsia="Arial" w:hAnsi="Arial"/>
          <w:sz w:val="14"/>
          <w:szCs w:val="14"/>
          <w:u w:val="single" w:color="auto"/>
          <w:color w:val="0000FF"/>
        </w:rPr>
      </w:pPr>
      <w:hyperlink r:id="rId146">
        <w:r>
          <w:rPr>
            <w:rFonts w:ascii="Arial" w:cs="Arial" w:eastAsia="Arial" w:hAnsi="Arial"/>
            <w:sz w:val="14"/>
            <w:szCs w:val="14"/>
            <w:u w:val="single" w:color="auto"/>
            <w:color w:val="0000FF"/>
          </w:rPr>
          <w:t>Arteris, Inc. 2016 Equity Incentive Plan for the Grant of Restricted Stock Unit Awards to</w:t>
        </w:r>
      </w:hyperlink>
      <w:r>
        <w:rPr>
          <w:rFonts w:ascii="Arial" w:cs="Arial" w:eastAsia="Arial" w:hAnsi="Arial"/>
          <w:sz w:val="14"/>
          <w:szCs w:val="14"/>
          <w:u w:val="single" w:color="auto"/>
          <w:color w:val="0000FF"/>
        </w:rPr>
        <w:t xml:space="preserve"> </w:t>
      </w:r>
      <w:hyperlink r:id="rId146">
        <w:r>
          <w:rPr>
            <w:rFonts w:ascii="Arial" w:cs="Arial" w:eastAsia="Arial" w:hAnsi="Arial"/>
            <w:sz w:val="14"/>
            <w:szCs w:val="14"/>
            <w:u w:val="single" w:color="auto"/>
            <w:color w:val="0000FF"/>
          </w:rPr>
          <w:t>Employees in France.</w:t>
        </w:r>
      </w:hyperlink>
    </w:p>
    <w:p>
      <w:pPr>
        <w:spacing w:after="0" w:line="9" w:lineRule="exact"/>
        <w:rPr>
          <w:sz w:val="20"/>
          <w:szCs w:val="20"/>
          <w:color w:val="auto"/>
        </w:rPr>
      </w:pPr>
    </w:p>
    <w:p>
      <w:pPr>
        <w:spacing w:after="0"/>
        <w:rPr>
          <w:rFonts w:ascii="Arial" w:cs="Arial" w:eastAsia="Arial" w:hAnsi="Arial"/>
          <w:sz w:val="14"/>
          <w:szCs w:val="14"/>
          <w:u w:val="single" w:color="auto"/>
          <w:color w:val="0000FF"/>
        </w:rPr>
      </w:pPr>
      <w:hyperlink r:id="rId147">
        <w:r>
          <w:rPr>
            <w:rFonts w:ascii="Arial" w:cs="Arial" w:eastAsia="Arial" w:hAnsi="Arial"/>
            <w:sz w:val="14"/>
            <w:szCs w:val="14"/>
            <w:u w:val="single" w:color="auto"/>
            <w:color w:val="0000FF"/>
          </w:rPr>
          <w:t>2021 Incentive Award Plan.</w:t>
        </w:r>
      </w:hyperlink>
    </w:p>
    <w:p>
      <w:pPr>
        <w:spacing w:after="0" w:line="55" w:lineRule="exact"/>
        <w:rPr>
          <w:sz w:val="20"/>
          <w:szCs w:val="20"/>
          <w:color w:val="auto"/>
        </w:rPr>
      </w:pPr>
    </w:p>
    <w:p>
      <w:pPr>
        <w:spacing w:after="0"/>
        <w:rPr>
          <w:rFonts w:ascii="Arial" w:cs="Arial" w:eastAsia="Arial" w:hAnsi="Arial"/>
          <w:sz w:val="14"/>
          <w:szCs w:val="14"/>
          <w:u w:val="single" w:color="auto"/>
          <w:color w:val="0000FF"/>
        </w:rPr>
      </w:pPr>
      <w:hyperlink r:id="rId148">
        <w:r>
          <w:rPr>
            <w:rFonts w:ascii="Arial" w:cs="Arial" w:eastAsia="Arial" w:hAnsi="Arial"/>
            <w:sz w:val="14"/>
            <w:szCs w:val="14"/>
            <w:u w:val="single" w:color="auto"/>
            <w:color w:val="0000FF"/>
          </w:rPr>
          <w:t>Form of Stock Option Award Agreement under Arteris, Inc. 2021 Incentive Award Plan.</w:t>
        </w:r>
      </w:hyperlink>
    </w:p>
    <w:p>
      <w:pPr>
        <w:spacing w:after="0" w:line="69" w:lineRule="exact"/>
        <w:rPr>
          <w:sz w:val="20"/>
          <w:szCs w:val="20"/>
          <w:color w:val="auto"/>
        </w:rPr>
      </w:pPr>
    </w:p>
    <w:p>
      <w:pPr>
        <w:ind w:right="160"/>
        <w:spacing w:after="0" w:line="285" w:lineRule="auto"/>
        <w:rPr>
          <w:rFonts w:ascii="Arial" w:cs="Arial" w:eastAsia="Arial" w:hAnsi="Arial"/>
          <w:sz w:val="14"/>
          <w:szCs w:val="14"/>
          <w:u w:val="single" w:color="auto"/>
          <w:color w:val="0000FF"/>
        </w:rPr>
      </w:pPr>
      <w:hyperlink r:id="rId149">
        <w:r>
          <w:rPr>
            <w:rFonts w:ascii="Arial" w:cs="Arial" w:eastAsia="Arial" w:hAnsi="Arial"/>
            <w:sz w:val="14"/>
            <w:szCs w:val="14"/>
            <w:u w:val="single" w:color="auto"/>
            <w:color w:val="0000FF"/>
          </w:rPr>
          <w:t>Form of Restricted Stock Unit Award Agreement under Arteris, Inc. 2021 Incentive Award</w:t>
        </w:r>
      </w:hyperlink>
      <w:r>
        <w:rPr>
          <w:rFonts w:ascii="Arial" w:cs="Arial" w:eastAsia="Arial" w:hAnsi="Arial"/>
          <w:sz w:val="14"/>
          <w:szCs w:val="14"/>
          <w:u w:val="single" w:color="auto"/>
          <w:color w:val="0000FF"/>
        </w:rPr>
        <w:t xml:space="preserve"> </w:t>
      </w:r>
      <w:hyperlink r:id="rId149">
        <w:r>
          <w:rPr>
            <w:rFonts w:ascii="Arial" w:cs="Arial" w:eastAsia="Arial" w:hAnsi="Arial"/>
            <w:sz w:val="14"/>
            <w:szCs w:val="14"/>
            <w:u w:val="single" w:color="auto"/>
            <w:color w:val="0000FF"/>
          </w:rPr>
          <w:t>Plan</w:t>
        </w:r>
      </w:hyperlink>
    </w:p>
    <w:p>
      <w:pPr>
        <w:spacing w:after="0" w:line="23" w:lineRule="exact"/>
        <w:rPr>
          <w:sz w:val="20"/>
          <w:szCs w:val="20"/>
          <w:color w:val="auto"/>
        </w:rPr>
      </w:pPr>
    </w:p>
    <w:p>
      <w:pPr>
        <w:spacing w:after="0"/>
        <w:rPr>
          <w:rFonts w:ascii="Arial" w:cs="Arial" w:eastAsia="Arial" w:hAnsi="Arial"/>
          <w:sz w:val="14"/>
          <w:szCs w:val="14"/>
          <w:u w:val="single" w:color="auto"/>
          <w:color w:val="0000FF"/>
        </w:rPr>
      </w:pPr>
      <w:hyperlink r:id="rId150">
        <w:r>
          <w:rPr>
            <w:rFonts w:ascii="Arial" w:cs="Arial" w:eastAsia="Arial" w:hAnsi="Arial"/>
            <w:sz w:val="14"/>
            <w:szCs w:val="14"/>
            <w:u w:val="single" w:color="auto"/>
            <w:color w:val="0000FF"/>
          </w:rPr>
          <w:t>2021 Employee Stock Purchase Plan</w:t>
        </w:r>
      </w:hyperlink>
    </w:p>
    <w:p>
      <w:pPr>
        <w:spacing w:after="0" w:line="69" w:lineRule="exact"/>
        <w:rPr>
          <w:sz w:val="20"/>
          <w:szCs w:val="20"/>
          <w:color w:val="auto"/>
        </w:rPr>
      </w:pPr>
    </w:p>
    <w:p>
      <w:pPr>
        <w:spacing w:after="0"/>
        <w:rPr>
          <w:rFonts w:ascii="Arial" w:cs="Arial" w:eastAsia="Arial" w:hAnsi="Arial"/>
          <w:sz w:val="14"/>
          <w:szCs w:val="14"/>
          <w:u w:val="single" w:color="auto"/>
          <w:color w:val="0000FF"/>
        </w:rPr>
      </w:pPr>
      <w:hyperlink r:id="rId151">
        <w:r>
          <w:rPr>
            <w:rFonts w:ascii="Arial" w:cs="Arial" w:eastAsia="Arial" w:hAnsi="Arial"/>
            <w:sz w:val="14"/>
            <w:szCs w:val="14"/>
            <w:u w:val="single" w:color="auto"/>
            <w:color w:val="0000FF"/>
          </w:rPr>
          <w:t>Form of Executive Change in Control Severance Agreement</w:t>
        </w:r>
      </w:hyperlink>
    </w:p>
    <w:p>
      <w:pPr>
        <w:spacing w:after="0" w:line="69" w:lineRule="exact"/>
        <w:rPr>
          <w:sz w:val="20"/>
          <w:szCs w:val="20"/>
          <w:color w:val="auto"/>
        </w:rPr>
      </w:pPr>
    </w:p>
    <w:p>
      <w:pPr>
        <w:spacing w:after="0"/>
        <w:rPr>
          <w:rFonts w:ascii="Arial" w:cs="Arial" w:eastAsia="Arial" w:hAnsi="Arial"/>
          <w:sz w:val="14"/>
          <w:szCs w:val="14"/>
          <w:u w:val="single" w:color="auto"/>
          <w:color w:val="0000FF"/>
        </w:rPr>
      </w:pPr>
      <w:hyperlink r:id="rId152">
        <w:r>
          <w:rPr>
            <w:rFonts w:ascii="Arial" w:cs="Arial" w:eastAsia="Arial" w:hAnsi="Arial"/>
            <w:sz w:val="14"/>
            <w:szCs w:val="14"/>
            <w:u w:val="single" w:color="auto"/>
            <w:color w:val="0000FF"/>
          </w:rPr>
          <w:t>Arteris, Inc. Non-Employee Director Compensation Policy.</w:t>
        </w:r>
      </w:hyperlink>
    </w:p>
    <w:p>
      <w:pPr>
        <w:spacing w:after="0" w:line="69" w:lineRule="exact"/>
        <w:rPr>
          <w:sz w:val="20"/>
          <w:szCs w:val="20"/>
          <w:color w:val="auto"/>
        </w:rPr>
      </w:pPr>
    </w:p>
    <w:p>
      <w:pPr>
        <w:spacing w:after="0"/>
        <w:rPr>
          <w:rFonts w:ascii="Arial" w:cs="Arial" w:eastAsia="Arial" w:hAnsi="Arial"/>
          <w:sz w:val="14"/>
          <w:szCs w:val="14"/>
          <w:u w:val="single" w:color="auto"/>
          <w:color w:val="0000FF"/>
        </w:rPr>
      </w:pPr>
      <w:hyperlink r:id="rId153">
        <w:r>
          <w:rPr>
            <w:rFonts w:ascii="Arial" w:cs="Arial" w:eastAsia="Arial" w:hAnsi="Arial"/>
            <w:sz w:val="14"/>
            <w:szCs w:val="14"/>
            <w:u w:val="single" w:color="auto"/>
            <w:color w:val="0000FF"/>
          </w:rPr>
          <w:t>Form of Indemnification Agreement between Arteris, Inc. and its directors and officers.</w:t>
        </w:r>
      </w:hyperlink>
    </w:p>
    <w:p>
      <w:pPr>
        <w:spacing w:after="0" w:line="55" w:lineRule="exact"/>
        <w:rPr>
          <w:sz w:val="20"/>
          <w:szCs w:val="20"/>
          <w:color w:val="auto"/>
        </w:rPr>
      </w:pPr>
    </w:p>
    <w:p>
      <w:pPr>
        <w:ind w:right="620"/>
        <w:spacing w:after="0" w:line="244" w:lineRule="auto"/>
        <w:rPr>
          <w:rFonts w:ascii="Arial" w:cs="Arial" w:eastAsia="Arial" w:hAnsi="Arial"/>
          <w:sz w:val="14"/>
          <w:szCs w:val="14"/>
          <w:u w:val="single" w:color="auto"/>
          <w:color w:val="0000FF"/>
        </w:rPr>
      </w:pPr>
      <w:hyperlink r:id="rId154">
        <w:r>
          <w:rPr>
            <w:rFonts w:ascii="Arial" w:cs="Arial" w:eastAsia="Arial" w:hAnsi="Arial"/>
            <w:sz w:val="14"/>
            <w:szCs w:val="14"/>
            <w:u w:val="single" w:color="auto"/>
            <w:color w:val="0000FF"/>
          </w:rPr>
          <w:t>Amended and Restated Project Assignment 1 to Independent Contractor Services</w:t>
        </w:r>
      </w:hyperlink>
      <w:r>
        <w:rPr>
          <w:rFonts w:ascii="Arial" w:cs="Arial" w:eastAsia="Arial" w:hAnsi="Arial"/>
          <w:sz w:val="14"/>
          <w:szCs w:val="14"/>
          <w:u w:val="single" w:color="auto"/>
          <w:color w:val="0000FF"/>
        </w:rPr>
        <w:t xml:space="preserve"> </w:t>
      </w:r>
      <w:hyperlink r:id="rId154">
        <w:r>
          <w:rPr>
            <w:rFonts w:ascii="Arial" w:cs="Arial" w:eastAsia="Arial" w:hAnsi="Arial"/>
            <w:sz w:val="14"/>
            <w:szCs w:val="14"/>
            <w:u w:val="single" w:color="auto"/>
            <w:color w:val="0000FF"/>
          </w:rPr>
          <w:t>Agreement</w:t>
        </w:r>
      </w:hyperlink>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tabs>
          <w:tab w:leader="none" w:pos="840" w:val="left"/>
          <w:tab w:leader="none" w:pos="1240" w:val="left"/>
        </w:tabs>
        <w:rPr>
          <w:sz w:val="20"/>
          <w:szCs w:val="20"/>
          <w:color w:val="auto"/>
        </w:rPr>
      </w:pPr>
      <w:r>
        <w:rPr>
          <w:rFonts w:ascii="Arial" w:cs="Arial" w:eastAsia="Arial" w:hAnsi="Arial"/>
          <w:sz w:val="14"/>
          <w:szCs w:val="14"/>
          <w:color w:val="auto"/>
        </w:rPr>
        <w:t>8-K</w:t>
      </w:r>
      <w:r>
        <w:rPr>
          <w:sz w:val="20"/>
          <w:szCs w:val="20"/>
          <w:color w:val="auto"/>
        </w:rPr>
        <w:tab/>
      </w:r>
      <w:r>
        <w:rPr>
          <w:rFonts w:ascii="Arial" w:cs="Arial" w:eastAsia="Arial" w:hAnsi="Arial"/>
          <w:sz w:val="14"/>
          <w:szCs w:val="14"/>
          <w:color w:val="auto"/>
        </w:rPr>
        <w:t>3.1</w:t>
        <w:tab/>
        <w:t>10-29-2021</w:t>
      </w:r>
    </w:p>
    <w:p>
      <w:pPr>
        <w:spacing w:after="0" w:line="69" w:lineRule="exact"/>
        <w:rPr>
          <w:sz w:val="20"/>
          <w:szCs w:val="20"/>
          <w:color w:val="auto"/>
        </w:rPr>
      </w:pPr>
    </w:p>
    <w:p>
      <w:pPr>
        <w:spacing w:after="0"/>
        <w:tabs>
          <w:tab w:leader="none" w:pos="840" w:val="left"/>
          <w:tab w:leader="none" w:pos="1240" w:val="left"/>
        </w:tabs>
        <w:rPr>
          <w:sz w:val="20"/>
          <w:szCs w:val="20"/>
          <w:color w:val="auto"/>
        </w:rPr>
      </w:pPr>
      <w:r>
        <w:rPr>
          <w:rFonts w:ascii="Arial" w:cs="Arial" w:eastAsia="Arial" w:hAnsi="Arial"/>
          <w:sz w:val="14"/>
          <w:szCs w:val="14"/>
          <w:color w:val="auto"/>
        </w:rPr>
        <w:t>8-K</w:t>
      </w:r>
      <w:r>
        <w:rPr>
          <w:sz w:val="20"/>
          <w:szCs w:val="20"/>
          <w:color w:val="auto"/>
        </w:rPr>
        <w:tab/>
      </w:r>
      <w:r>
        <w:rPr>
          <w:rFonts w:ascii="Arial" w:cs="Arial" w:eastAsia="Arial" w:hAnsi="Arial"/>
          <w:sz w:val="14"/>
          <w:szCs w:val="14"/>
          <w:color w:val="auto"/>
        </w:rPr>
        <w:t>3.2</w:t>
        <w:tab/>
        <w:t>10-29-2021</w:t>
      </w:r>
    </w:p>
    <w:p>
      <w:pPr>
        <w:spacing w:after="0" w:line="69" w:lineRule="exact"/>
        <w:rPr>
          <w:sz w:val="20"/>
          <w:szCs w:val="20"/>
          <w:color w:val="auto"/>
        </w:rPr>
      </w:pPr>
    </w:p>
    <w:p>
      <w:pPr>
        <w:spacing w:after="0"/>
        <w:tabs>
          <w:tab w:leader="none" w:pos="840" w:val="left"/>
          <w:tab w:leader="none" w:pos="1240" w:val="left"/>
        </w:tabs>
        <w:rPr>
          <w:sz w:val="20"/>
          <w:szCs w:val="20"/>
          <w:color w:val="auto"/>
        </w:rPr>
      </w:pPr>
      <w:r>
        <w:rPr>
          <w:rFonts w:ascii="Arial" w:cs="Arial" w:eastAsia="Arial" w:hAnsi="Arial"/>
          <w:sz w:val="14"/>
          <w:szCs w:val="14"/>
          <w:color w:val="auto"/>
        </w:rPr>
        <w:t>S-1/A</w:t>
      </w:r>
      <w:r>
        <w:rPr>
          <w:sz w:val="20"/>
          <w:szCs w:val="20"/>
          <w:color w:val="auto"/>
        </w:rPr>
        <w:tab/>
      </w:r>
      <w:r>
        <w:rPr>
          <w:rFonts w:ascii="Arial" w:cs="Arial" w:eastAsia="Arial" w:hAnsi="Arial"/>
          <w:sz w:val="14"/>
          <w:szCs w:val="14"/>
          <w:color w:val="auto"/>
        </w:rPr>
        <w:t>4.1</w:t>
        <w:tab/>
        <w:t>10-18-2021</w:t>
      </w:r>
    </w:p>
    <w:p>
      <w:pPr>
        <w:spacing w:after="0" w:line="69" w:lineRule="exact"/>
        <w:rPr>
          <w:sz w:val="20"/>
          <w:szCs w:val="20"/>
          <w:color w:val="auto"/>
        </w:rPr>
      </w:pPr>
    </w:p>
    <w:p>
      <w:pPr>
        <w:spacing w:after="0"/>
        <w:tabs>
          <w:tab w:leader="none" w:pos="760" w:val="left"/>
          <w:tab w:leader="none" w:pos="1240" w:val="left"/>
        </w:tabs>
        <w:rPr>
          <w:sz w:val="20"/>
          <w:szCs w:val="20"/>
          <w:color w:val="auto"/>
        </w:rPr>
      </w:pPr>
      <w:r>
        <w:rPr>
          <w:rFonts w:ascii="Arial" w:cs="Arial" w:eastAsia="Arial" w:hAnsi="Arial"/>
          <w:sz w:val="14"/>
          <w:szCs w:val="14"/>
          <w:color w:val="auto"/>
        </w:rPr>
        <w:t>S-1</w:t>
      </w:r>
      <w:r>
        <w:rPr>
          <w:sz w:val="20"/>
          <w:szCs w:val="20"/>
          <w:color w:val="auto"/>
        </w:rPr>
        <w:tab/>
      </w:r>
      <w:r>
        <w:rPr>
          <w:rFonts w:ascii="Arial" w:cs="Arial" w:eastAsia="Arial" w:hAnsi="Arial"/>
          <w:sz w:val="14"/>
          <w:szCs w:val="14"/>
          <w:color w:val="auto"/>
        </w:rPr>
        <w:t>10.1</w:t>
        <w:tab/>
        <w:t>10-01-2021</w:t>
      </w:r>
    </w:p>
    <w:p>
      <w:pPr>
        <w:spacing w:after="0" w:line="244" w:lineRule="exact"/>
        <w:rPr>
          <w:sz w:val="20"/>
          <w:szCs w:val="20"/>
          <w:color w:val="auto"/>
        </w:rPr>
      </w:pPr>
    </w:p>
    <w:p>
      <w:pPr>
        <w:spacing w:after="0"/>
        <w:tabs>
          <w:tab w:leader="none" w:pos="760" w:val="left"/>
          <w:tab w:leader="none" w:pos="1240" w:val="left"/>
        </w:tabs>
        <w:rPr>
          <w:sz w:val="20"/>
          <w:szCs w:val="20"/>
          <w:color w:val="auto"/>
        </w:rPr>
      </w:pPr>
      <w:r>
        <w:rPr>
          <w:rFonts w:ascii="Arial" w:cs="Arial" w:eastAsia="Arial" w:hAnsi="Arial"/>
          <w:sz w:val="14"/>
          <w:szCs w:val="14"/>
          <w:color w:val="auto"/>
        </w:rPr>
        <w:t>S-1</w:t>
      </w:r>
      <w:r>
        <w:rPr>
          <w:sz w:val="20"/>
          <w:szCs w:val="20"/>
          <w:color w:val="auto"/>
        </w:rPr>
        <w:tab/>
      </w:r>
      <w:r>
        <w:rPr>
          <w:rFonts w:ascii="Arial" w:cs="Arial" w:eastAsia="Arial" w:hAnsi="Arial"/>
          <w:sz w:val="14"/>
          <w:szCs w:val="14"/>
          <w:color w:val="auto"/>
        </w:rPr>
        <w:t>10.2</w:t>
        <w:tab/>
        <w:t>10-01-2021</w:t>
      </w:r>
    </w:p>
    <w:p>
      <w:pPr>
        <w:spacing w:after="0" w:line="244" w:lineRule="exact"/>
        <w:rPr>
          <w:sz w:val="20"/>
          <w:szCs w:val="20"/>
          <w:color w:val="auto"/>
        </w:rPr>
      </w:pPr>
    </w:p>
    <w:p>
      <w:pPr>
        <w:spacing w:after="0"/>
        <w:tabs>
          <w:tab w:leader="none" w:pos="760" w:val="left"/>
          <w:tab w:leader="none" w:pos="1240" w:val="left"/>
        </w:tabs>
        <w:rPr>
          <w:sz w:val="20"/>
          <w:szCs w:val="20"/>
          <w:color w:val="auto"/>
        </w:rPr>
      </w:pPr>
      <w:r>
        <w:rPr>
          <w:rFonts w:ascii="Arial" w:cs="Arial" w:eastAsia="Arial" w:hAnsi="Arial"/>
          <w:sz w:val="14"/>
          <w:szCs w:val="14"/>
          <w:color w:val="auto"/>
        </w:rPr>
        <w:t>S-1</w:t>
      </w:r>
      <w:r>
        <w:rPr>
          <w:sz w:val="20"/>
          <w:szCs w:val="20"/>
          <w:color w:val="auto"/>
        </w:rPr>
        <w:tab/>
      </w:r>
      <w:r>
        <w:rPr>
          <w:rFonts w:ascii="Arial" w:cs="Arial" w:eastAsia="Arial" w:hAnsi="Arial"/>
          <w:sz w:val="14"/>
          <w:szCs w:val="14"/>
          <w:color w:val="auto"/>
        </w:rPr>
        <w:t>10.3</w:t>
        <w:tab/>
        <w:t>10-01-2021</w:t>
      </w:r>
    </w:p>
    <w:p>
      <w:pPr>
        <w:spacing w:after="0" w:line="244" w:lineRule="exact"/>
        <w:rPr>
          <w:sz w:val="20"/>
          <w:szCs w:val="20"/>
          <w:color w:val="auto"/>
        </w:rPr>
      </w:pPr>
    </w:p>
    <w:p>
      <w:pPr>
        <w:spacing w:after="0"/>
        <w:tabs>
          <w:tab w:leader="none" w:pos="760" w:val="left"/>
          <w:tab w:leader="none" w:pos="1240" w:val="left"/>
        </w:tabs>
        <w:rPr>
          <w:sz w:val="20"/>
          <w:szCs w:val="20"/>
          <w:color w:val="auto"/>
        </w:rPr>
      </w:pPr>
      <w:r>
        <w:rPr>
          <w:rFonts w:ascii="Arial" w:cs="Arial" w:eastAsia="Arial" w:hAnsi="Arial"/>
          <w:sz w:val="14"/>
          <w:szCs w:val="14"/>
          <w:color w:val="auto"/>
        </w:rPr>
        <w:t>S-1</w:t>
      </w:r>
      <w:r>
        <w:rPr>
          <w:sz w:val="20"/>
          <w:szCs w:val="20"/>
          <w:color w:val="auto"/>
        </w:rPr>
        <w:tab/>
      </w:r>
      <w:r>
        <w:rPr>
          <w:rFonts w:ascii="Arial" w:cs="Arial" w:eastAsia="Arial" w:hAnsi="Arial"/>
          <w:sz w:val="14"/>
          <w:szCs w:val="14"/>
          <w:color w:val="auto"/>
        </w:rPr>
        <w:t>10.4</w:t>
        <w:tab/>
        <w:t>10-01-2021</w:t>
      </w:r>
    </w:p>
    <w:p>
      <w:pPr>
        <w:spacing w:after="0" w:line="200" w:lineRule="exact"/>
        <w:rPr>
          <w:sz w:val="20"/>
          <w:szCs w:val="20"/>
          <w:color w:val="auto"/>
        </w:rPr>
      </w:pPr>
    </w:p>
    <w:p>
      <w:pPr>
        <w:spacing w:after="0" w:line="206" w:lineRule="exact"/>
        <w:rPr>
          <w:sz w:val="20"/>
          <w:szCs w:val="20"/>
          <w:color w:val="auto"/>
        </w:rPr>
      </w:pPr>
    </w:p>
    <w:p>
      <w:pPr>
        <w:spacing w:after="0"/>
        <w:tabs>
          <w:tab w:leader="none" w:pos="760" w:val="left"/>
          <w:tab w:leader="none" w:pos="1240" w:val="left"/>
        </w:tabs>
        <w:rPr>
          <w:sz w:val="20"/>
          <w:szCs w:val="20"/>
          <w:color w:val="auto"/>
        </w:rPr>
      </w:pPr>
      <w:r>
        <w:rPr>
          <w:rFonts w:ascii="Arial" w:cs="Arial" w:eastAsia="Arial" w:hAnsi="Arial"/>
          <w:sz w:val="14"/>
          <w:szCs w:val="14"/>
          <w:color w:val="auto"/>
        </w:rPr>
        <w:t>S-1</w:t>
      </w:r>
      <w:r>
        <w:rPr>
          <w:sz w:val="20"/>
          <w:szCs w:val="20"/>
          <w:color w:val="auto"/>
        </w:rPr>
        <w:tab/>
      </w:r>
      <w:r>
        <w:rPr>
          <w:rFonts w:ascii="Arial" w:cs="Arial" w:eastAsia="Arial" w:hAnsi="Arial"/>
          <w:sz w:val="14"/>
          <w:szCs w:val="14"/>
          <w:color w:val="auto"/>
        </w:rPr>
        <w:t>10.6</w:t>
        <w:tab/>
        <w:t>10-01-2021</w:t>
      </w:r>
    </w:p>
    <w:p>
      <w:pPr>
        <w:spacing w:after="0" w:line="69" w:lineRule="exact"/>
        <w:rPr>
          <w:sz w:val="20"/>
          <w:szCs w:val="20"/>
          <w:color w:val="auto"/>
        </w:rPr>
      </w:pPr>
    </w:p>
    <w:p>
      <w:pPr>
        <w:spacing w:after="0"/>
        <w:tabs>
          <w:tab w:leader="none" w:pos="680" w:val="left"/>
          <w:tab w:leader="none" w:pos="1240" w:val="left"/>
        </w:tabs>
        <w:rPr>
          <w:sz w:val="20"/>
          <w:szCs w:val="20"/>
          <w:color w:val="auto"/>
        </w:rPr>
      </w:pPr>
      <w:r>
        <w:rPr>
          <w:rFonts w:ascii="Arial" w:cs="Arial" w:eastAsia="Arial" w:hAnsi="Arial"/>
          <w:sz w:val="14"/>
          <w:szCs w:val="14"/>
          <w:color w:val="auto"/>
        </w:rPr>
        <w:t>S-1</w:t>
      </w:r>
      <w:r>
        <w:rPr>
          <w:sz w:val="20"/>
          <w:szCs w:val="20"/>
          <w:color w:val="auto"/>
        </w:rPr>
        <w:tab/>
      </w:r>
      <w:r>
        <w:rPr>
          <w:rFonts w:ascii="Arial" w:cs="Arial" w:eastAsia="Arial" w:hAnsi="Arial"/>
          <w:sz w:val="14"/>
          <w:szCs w:val="14"/>
          <w:color w:val="auto"/>
        </w:rPr>
        <w:t>10.10</w:t>
        <w:tab/>
        <w:t>10-01-2021</w:t>
      </w:r>
    </w:p>
    <w:p>
      <w:pPr>
        <w:spacing w:after="0" w:line="69" w:lineRule="exact"/>
        <w:rPr>
          <w:sz w:val="20"/>
          <w:szCs w:val="20"/>
          <w:color w:val="auto"/>
        </w:rPr>
      </w:pPr>
    </w:p>
    <w:p>
      <w:pPr>
        <w:spacing w:after="0"/>
        <w:tabs>
          <w:tab w:leader="none" w:pos="480" w:val="left"/>
          <w:tab w:leader="none" w:pos="1260" w:val="left"/>
        </w:tabs>
        <w:rPr>
          <w:sz w:val="20"/>
          <w:szCs w:val="20"/>
          <w:color w:val="auto"/>
        </w:rPr>
      </w:pPr>
      <w:r>
        <w:rPr>
          <w:rFonts w:ascii="Arial" w:cs="Arial" w:eastAsia="Arial" w:hAnsi="Arial"/>
          <w:sz w:val="14"/>
          <w:szCs w:val="14"/>
          <w:color w:val="auto"/>
        </w:rPr>
        <w:t>S-8</w:t>
      </w:r>
      <w:r>
        <w:rPr>
          <w:sz w:val="20"/>
          <w:szCs w:val="20"/>
          <w:color w:val="auto"/>
        </w:rPr>
        <w:tab/>
      </w:r>
      <w:r>
        <w:rPr>
          <w:rFonts w:ascii="Arial" w:cs="Arial" w:eastAsia="Arial" w:hAnsi="Arial"/>
          <w:sz w:val="14"/>
          <w:szCs w:val="14"/>
          <w:color w:val="auto"/>
        </w:rPr>
        <w:t>99.1(a)</w:t>
      </w:r>
      <w:r>
        <w:rPr>
          <w:sz w:val="20"/>
          <w:szCs w:val="20"/>
          <w:color w:val="auto"/>
        </w:rPr>
        <w:tab/>
      </w:r>
      <w:r>
        <w:rPr>
          <w:rFonts w:ascii="Arial" w:cs="Arial" w:eastAsia="Arial" w:hAnsi="Arial"/>
          <w:sz w:val="14"/>
          <w:szCs w:val="14"/>
          <w:color w:val="auto"/>
        </w:rPr>
        <w:t>11-01-2021</w:t>
      </w:r>
    </w:p>
    <w:p>
      <w:pPr>
        <w:spacing w:after="0" w:line="69" w:lineRule="exact"/>
        <w:rPr>
          <w:sz w:val="20"/>
          <w:szCs w:val="20"/>
          <w:color w:val="auto"/>
        </w:rPr>
      </w:pPr>
    </w:p>
    <w:p>
      <w:pPr>
        <w:spacing w:after="0"/>
        <w:tabs>
          <w:tab w:leader="none" w:pos="680" w:val="left"/>
          <w:tab w:leader="none" w:pos="1240" w:val="left"/>
        </w:tabs>
        <w:rPr>
          <w:sz w:val="20"/>
          <w:szCs w:val="20"/>
          <w:color w:val="auto"/>
        </w:rPr>
      </w:pPr>
      <w:r>
        <w:rPr>
          <w:rFonts w:ascii="Arial" w:cs="Arial" w:eastAsia="Arial" w:hAnsi="Arial"/>
          <w:sz w:val="14"/>
          <w:szCs w:val="14"/>
          <w:color w:val="auto"/>
        </w:rPr>
        <w:t>S-1</w:t>
      </w:r>
      <w:r>
        <w:rPr>
          <w:sz w:val="20"/>
          <w:szCs w:val="20"/>
          <w:color w:val="auto"/>
        </w:rPr>
        <w:tab/>
      </w:r>
      <w:r>
        <w:rPr>
          <w:rFonts w:ascii="Arial" w:cs="Arial" w:eastAsia="Arial" w:hAnsi="Arial"/>
          <w:sz w:val="14"/>
          <w:szCs w:val="14"/>
          <w:color w:val="auto"/>
        </w:rPr>
        <w:t>10.12</w:t>
        <w:tab/>
        <w:t>10-01-2021</w:t>
      </w:r>
    </w:p>
    <w:p>
      <w:pPr>
        <w:spacing w:after="0" w:line="244" w:lineRule="exact"/>
        <w:rPr>
          <w:sz w:val="20"/>
          <w:szCs w:val="20"/>
          <w:color w:val="auto"/>
        </w:rPr>
      </w:pPr>
    </w:p>
    <w:p>
      <w:pPr>
        <w:spacing w:after="0"/>
        <w:tabs>
          <w:tab w:leader="none" w:pos="480" w:val="left"/>
          <w:tab w:leader="none" w:pos="1260" w:val="left"/>
        </w:tabs>
        <w:rPr>
          <w:sz w:val="20"/>
          <w:szCs w:val="20"/>
          <w:color w:val="auto"/>
        </w:rPr>
      </w:pPr>
      <w:r>
        <w:rPr>
          <w:rFonts w:ascii="Arial" w:cs="Arial" w:eastAsia="Arial" w:hAnsi="Arial"/>
          <w:sz w:val="14"/>
          <w:szCs w:val="14"/>
          <w:color w:val="auto"/>
        </w:rPr>
        <w:t>S-8</w:t>
      </w:r>
      <w:r>
        <w:rPr>
          <w:sz w:val="20"/>
          <w:szCs w:val="20"/>
          <w:color w:val="auto"/>
        </w:rPr>
        <w:tab/>
      </w:r>
      <w:r>
        <w:rPr>
          <w:rFonts w:ascii="Arial" w:cs="Arial" w:eastAsia="Arial" w:hAnsi="Arial"/>
          <w:sz w:val="14"/>
          <w:szCs w:val="14"/>
          <w:color w:val="auto"/>
        </w:rPr>
        <w:t>99.2(a)</w:t>
      </w:r>
      <w:r>
        <w:rPr>
          <w:sz w:val="20"/>
          <w:szCs w:val="20"/>
          <w:color w:val="auto"/>
        </w:rPr>
        <w:tab/>
      </w:r>
      <w:r>
        <w:rPr>
          <w:rFonts w:ascii="Arial" w:cs="Arial" w:eastAsia="Arial" w:hAnsi="Arial"/>
          <w:sz w:val="14"/>
          <w:szCs w:val="14"/>
          <w:color w:val="auto"/>
        </w:rPr>
        <w:t>11-01-2021</w:t>
      </w:r>
    </w:p>
    <w:p>
      <w:pPr>
        <w:spacing w:after="0" w:line="42" w:lineRule="exact"/>
        <w:rPr>
          <w:sz w:val="20"/>
          <w:szCs w:val="20"/>
          <w:color w:val="auto"/>
        </w:rPr>
      </w:pPr>
    </w:p>
    <w:p>
      <w:pPr>
        <w:spacing w:after="0"/>
        <w:tabs>
          <w:tab w:leader="none" w:pos="680" w:val="left"/>
          <w:tab w:leader="none" w:pos="1240" w:val="left"/>
        </w:tabs>
        <w:rPr>
          <w:sz w:val="20"/>
          <w:szCs w:val="20"/>
          <w:color w:val="auto"/>
        </w:rPr>
      </w:pPr>
      <w:r>
        <w:rPr>
          <w:rFonts w:ascii="Arial" w:cs="Arial" w:eastAsia="Arial" w:hAnsi="Arial"/>
          <w:sz w:val="14"/>
          <w:szCs w:val="14"/>
          <w:color w:val="auto"/>
        </w:rPr>
        <w:t>S-1/A</w:t>
      </w:r>
      <w:r>
        <w:rPr>
          <w:sz w:val="20"/>
          <w:szCs w:val="20"/>
          <w:color w:val="auto"/>
        </w:rPr>
        <w:tab/>
      </w:r>
      <w:r>
        <w:rPr>
          <w:rFonts w:ascii="Arial" w:cs="Arial" w:eastAsia="Arial" w:hAnsi="Arial"/>
          <w:sz w:val="14"/>
          <w:szCs w:val="14"/>
          <w:color w:val="auto"/>
        </w:rPr>
        <w:t>10.14</w:t>
        <w:tab/>
        <w:t>10-18-2021</w:t>
      </w:r>
    </w:p>
    <w:p>
      <w:pPr>
        <w:spacing w:after="0" w:line="69" w:lineRule="exact"/>
        <w:rPr>
          <w:sz w:val="20"/>
          <w:szCs w:val="20"/>
          <w:color w:val="auto"/>
        </w:rPr>
      </w:pPr>
    </w:p>
    <w:p>
      <w:pPr>
        <w:spacing w:after="0"/>
        <w:tabs>
          <w:tab w:leader="none" w:pos="680" w:val="left"/>
          <w:tab w:leader="none" w:pos="1240" w:val="left"/>
        </w:tabs>
        <w:rPr>
          <w:sz w:val="20"/>
          <w:szCs w:val="20"/>
          <w:color w:val="auto"/>
        </w:rPr>
      </w:pPr>
      <w:r>
        <w:rPr>
          <w:rFonts w:ascii="Arial" w:cs="Arial" w:eastAsia="Arial" w:hAnsi="Arial"/>
          <w:sz w:val="14"/>
          <w:szCs w:val="14"/>
          <w:color w:val="auto"/>
        </w:rPr>
        <w:t>S-1/A</w:t>
      </w:r>
      <w:r>
        <w:rPr>
          <w:sz w:val="20"/>
          <w:szCs w:val="20"/>
          <w:color w:val="auto"/>
        </w:rPr>
        <w:tab/>
      </w:r>
      <w:r>
        <w:rPr>
          <w:rFonts w:ascii="Arial" w:cs="Arial" w:eastAsia="Arial" w:hAnsi="Arial"/>
          <w:sz w:val="14"/>
          <w:szCs w:val="14"/>
          <w:color w:val="auto"/>
        </w:rPr>
        <w:t>10.15</w:t>
        <w:tab/>
        <w:t>10-18-2021</w:t>
      </w:r>
    </w:p>
    <w:p>
      <w:pPr>
        <w:spacing w:after="0" w:line="244" w:lineRule="exact"/>
        <w:rPr>
          <w:sz w:val="20"/>
          <w:szCs w:val="20"/>
          <w:color w:val="auto"/>
        </w:rPr>
      </w:pPr>
    </w:p>
    <w:p>
      <w:pPr>
        <w:spacing w:after="0"/>
        <w:tabs>
          <w:tab w:leader="none" w:pos="760" w:val="left"/>
          <w:tab w:leader="none" w:pos="1260" w:val="left"/>
        </w:tabs>
        <w:rPr>
          <w:sz w:val="20"/>
          <w:szCs w:val="20"/>
          <w:color w:val="auto"/>
        </w:rPr>
      </w:pPr>
      <w:r>
        <w:rPr>
          <w:rFonts w:ascii="Arial" w:cs="Arial" w:eastAsia="Arial" w:hAnsi="Arial"/>
          <w:sz w:val="14"/>
          <w:szCs w:val="14"/>
          <w:color w:val="auto"/>
        </w:rPr>
        <w:t>S-8</w:t>
      </w:r>
      <w:r>
        <w:rPr>
          <w:sz w:val="20"/>
          <w:szCs w:val="20"/>
          <w:color w:val="auto"/>
        </w:rPr>
        <w:tab/>
      </w:r>
      <w:r>
        <w:rPr>
          <w:rFonts w:ascii="Arial" w:cs="Arial" w:eastAsia="Arial" w:hAnsi="Arial"/>
          <w:sz w:val="14"/>
          <w:szCs w:val="14"/>
          <w:color w:val="auto"/>
        </w:rPr>
        <w:t>99.3</w:t>
        <w:tab/>
        <w:t>11-01-2021</w:t>
      </w:r>
    </w:p>
    <w:p>
      <w:pPr>
        <w:spacing w:after="0" w:line="69" w:lineRule="exact"/>
        <w:rPr>
          <w:sz w:val="20"/>
          <w:szCs w:val="20"/>
          <w:color w:val="auto"/>
        </w:rPr>
      </w:pPr>
    </w:p>
    <w:p>
      <w:pPr>
        <w:spacing w:after="0"/>
        <w:tabs>
          <w:tab w:leader="none" w:pos="680" w:val="left"/>
          <w:tab w:leader="none" w:pos="1240" w:val="left"/>
        </w:tabs>
        <w:rPr>
          <w:sz w:val="20"/>
          <w:szCs w:val="20"/>
          <w:color w:val="auto"/>
        </w:rPr>
      </w:pPr>
      <w:r>
        <w:rPr>
          <w:rFonts w:ascii="Arial" w:cs="Arial" w:eastAsia="Arial" w:hAnsi="Arial"/>
          <w:sz w:val="14"/>
          <w:szCs w:val="14"/>
          <w:color w:val="auto"/>
        </w:rPr>
        <w:t>S-1/A</w:t>
      </w:r>
      <w:r>
        <w:rPr>
          <w:sz w:val="20"/>
          <w:szCs w:val="20"/>
          <w:color w:val="auto"/>
        </w:rPr>
        <w:tab/>
      </w:r>
      <w:r>
        <w:rPr>
          <w:rFonts w:ascii="Arial" w:cs="Arial" w:eastAsia="Arial" w:hAnsi="Arial"/>
          <w:sz w:val="14"/>
          <w:szCs w:val="14"/>
          <w:color w:val="auto"/>
        </w:rPr>
        <w:t>10.17</w:t>
        <w:tab/>
        <w:t>10-18-2021</w:t>
      </w:r>
    </w:p>
    <w:p>
      <w:pPr>
        <w:spacing w:after="0" w:line="69" w:lineRule="exact"/>
        <w:rPr>
          <w:sz w:val="20"/>
          <w:szCs w:val="20"/>
          <w:color w:val="auto"/>
        </w:rPr>
      </w:pPr>
    </w:p>
    <w:p>
      <w:pPr>
        <w:spacing w:after="0"/>
        <w:tabs>
          <w:tab w:leader="none" w:pos="680" w:val="left"/>
          <w:tab w:leader="none" w:pos="1240" w:val="left"/>
        </w:tabs>
        <w:rPr>
          <w:sz w:val="20"/>
          <w:szCs w:val="20"/>
          <w:color w:val="auto"/>
        </w:rPr>
      </w:pPr>
      <w:r>
        <w:rPr>
          <w:rFonts w:ascii="Arial" w:cs="Arial" w:eastAsia="Arial" w:hAnsi="Arial"/>
          <w:sz w:val="14"/>
          <w:szCs w:val="14"/>
          <w:color w:val="auto"/>
        </w:rPr>
        <w:t>S-1/A</w:t>
      </w:r>
      <w:r>
        <w:rPr>
          <w:sz w:val="20"/>
          <w:szCs w:val="20"/>
          <w:color w:val="auto"/>
        </w:rPr>
        <w:tab/>
      </w:r>
      <w:r>
        <w:rPr>
          <w:rFonts w:ascii="Arial" w:cs="Arial" w:eastAsia="Arial" w:hAnsi="Arial"/>
          <w:sz w:val="14"/>
          <w:szCs w:val="14"/>
          <w:color w:val="auto"/>
        </w:rPr>
        <w:t>10.18</w:t>
        <w:tab/>
        <w:t>10-18-2021</w:t>
      </w:r>
    </w:p>
    <w:p>
      <w:pPr>
        <w:spacing w:after="0" w:line="69" w:lineRule="exact"/>
        <w:rPr>
          <w:sz w:val="20"/>
          <w:szCs w:val="20"/>
          <w:color w:val="auto"/>
        </w:rPr>
      </w:pPr>
    </w:p>
    <w:p>
      <w:pPr>
        <w:spacing w:after="0"/>
        <w:tabs>
          <w:tab w:leader="none" w:pos="680" w:val="left"/>
          <w:tab w:leader="none" w:pos="1240" w:val="left"/>
        </w:tabs>
        <w:rPr>
          <w:sz w:val="20"/>
          <w:szCs w:val="20"/>
          <w:color w:val="auto"/>
        </w:rPr>
      </w:pPr>
      <w:r>
        <w:rPr>
          <w:rFonts w:ascii="Arial" w:cs="Arial" w:eastAsia="Arial" w:hAnsi="Arial"/>
          <w:sz w:val="14"/>
          <w:szCs w:val="14"/>
          <w:color w:val="auto"/>
        </w:rPr>
        <w:t>S-1/A</w:t>
      </w:r>
      <w:r>
        <w:rPr>
          <w:sz w:val="20"/>
          <w:szCs w:val="20"/>
          <w:color w:val="auto"/>
        </w:rPr>
        <w:tab/>
      </w:r>
      <w:r>
        <w:rPr>
          <w:rFonts w:ascii="Arial" w:cs="Arial" w:eastAsia="Arial" w:hAnsi="Arial"/>
          <w:sz w:val="14"/>
          <w:szCs w:val="14"/>
          <w:color w:val="auto"/>
        </w:rPr>
        <w:t>10.19</w:t>
        <w:tab/>
        <w:t>10-18-2021</w:t>
      </w:r>
    </w:p>
    <w:p>
      <w:pPr>
        <w:spacing w:after="0" w:line="69" w:lineRule="exact"/>
        <w:rPr>
          <w:sz w:val="20"/>
          <w:szCs w:val="20"/>
          <w:color w:val="auto"/>
        </w:rPr>
      </w:pPr>
    </w:p>
    <w:p>
      <w:pPr>
        <w:spacing w:after="0"/>
        <w:tabs>
          <w:tab w:leader="none" w:pos="760" w:val="left"/>
          <w:tab w:leader="none" w:pos="1240" w:val="left"/>
        </w:tabs>
        <w:rPr>
          <w:sz w:val="20"/>
          <w:szCs w:val="20"/>
          <w:color w:val="auto"/>
        </w:rPr>
      </w:pPr>
      <w:r>
        <w:rPr>
          <w:rFonts w:ascii="Arial" w:cs="Arial" w:eastAsia="Arial" w:hAnsi="Arial"/>
          <w:sz w:val="14"/>
          <w:szCs w:val="14"/>
          <w:color w:val="auto"/>
        </w:rPr>
        <w:t>8-K</w:t>
      </w:r>
      <w:r>
        <w:rPr>
          <w:sz w:val="20"/>
          <w:szCs w:val="20"/>
          <w:color w:val="auto"/>
        </w:rPr>
        <w:tab/>
      </w:r>
      <w:r>
        <w:rPr>
          <w:rFonts w:ascii="Arial" w:cs="Arial" w:eastAsia="Arial" w:hAnsi="Arial"/>
          <w:sz w:val="14"/>
          <w:szCs w:val="14"/>
          <w:color w:val="auto"/>
        </w:rPr>
        <w:t>10.1</w:t>
        <w:tab/>
        <w:t>12-10-2021</w:t>
      </w:r>
    </w:p>
    <w:p>
      <w:pPr>
        <w:spacing w:after="0" w:line="366" w:lineRule="exact"/>
        <w:rPr>
          <w:sz w:val="20"/>
          <w:szCs w:val="20"/>
          <w:color w:val="auto"/>
        </w:rPr>
      </w:pPr>
    </w:p>
    <w:p>
      <w:pPr>
        <w:sectPr>
          <w:pgSz w:w="11900" w:h="16838" w:orient="portrait"/>
          <w:cols w:equalWidth="0" w:num="3">
            <w:col w:w="720" w:space="300"/>
            <w:col w:w="5820" w:space="140"/>
            <w:col w:w="4140"/>
          </w:cols>
          <w:pgMar w:left="320" w:top="117" w:right="45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EXHIBIT NO.</w:t>
            </w:r>
          </w:p>
        </w:tc>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0" w:type="dxa"/>
            <w:vAlign w:val="bottom"/>
            <w:gridSpan w:val="21"/>
          </w:tcPr>
          <w:p>
            <w:pPr>
              <w:ind w:left="140"/>
              <w:spacing w:after="0"/>
              <w:rPr>
                <w:sz w:val="20"/>
                <w:szCs w:val="20"/>
                <w:color w:val="auto"/>
              </w:rPr>
            </w:pPr>
            <w:r>
              <w:rPr>
                <w:rFonts w:ascii="Arial" w:cs="Arial" w:eastAsia="Arial" w:hAnsi="Arial"/>
                <w:sz w:val="14"/>
                <w:szCs w:val="14"/>
                <w:b w:val="1"/>
                <w:bCs w:val="1"/>
                <w:color w:val="auto"/>
              </w:rPr>
              <w:t>DESCRIPTION OF EXHIBIT</w:t>
            </w:r>
          </w:p>
        </w:tc>
        <w:tc>
          <w:tcPr>
            <w:tcW w:w="540" w:type="dxa"/>
            <w:vAlign w:val="bottom"/>
          </w:tcPr>
          <w:p>
            <w:pPr>
              <w:ind w:left="120"/>
              <w:spacing w:after="0"/>
              <w:rPr>
                <w:sz w:val="20"/>
                <w:szCs w:val="20"/>
                <w:color w:val="auto"/>
              </w:rPr>
            </w:pPr>
            <w:r>
              <w:rPr>
                <w:rFonts w:ascii="Arial" w:cs="Arial" w:eastAsia="Arial" w:hAnsi="Arial"/>
                <w:sz w:val="14"/>
                <w:szCs w:val="14"/>
                <w:b w:val="1"/>
                <w:bCs w:val="1"/>
                <w:color w:val="auto"/>
              </w:rPr>
              <w:t>Form</w:t>
            </w: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Filing Date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205"/>
        </w:trPr>
        <w:tc>
          <w:tcPr>
            <w:tcW w:w="10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162"/>
        </w:trPr>
        <w:tc>
          <w:tcPr>
            <w:tcW w:w="1020" w:type="dxa"/>
            <w:vAlign w:val="bottom"/>
          </w:tcPr>
          <w:p>
            <w:pPr>
              <w:jc w:val="center"/>
              <w:spacing w:after="0"/>
              <w:rPr>
                <w:sz w:val="20"/>
                <w:szCs w:val="20"/>
                <w:color w:val="auto"/>
              </w:rPr>
            </w:pPr>
            <w:r>
              <w:rPr>
                <w:rFonts w:ascii="Arial" w:cs="Arial" w:eastAsia="Arial" w:hAnsi="Arial"/>
                <w:sz w:val="14"/>
                <w:szCs w:val="14"/>
                <w:color w:val="auto"/>
              </w:rPr>
              <w:t>10.17#</w:t>
            </w:r>
          </w:p>
        </w:tc>
        <w:tc>
          <w:tcPr>
            <w:tcW w:w="5900" w:type="dxa"/>
            <w:vAlign w:val="bottom"/>
            <w:gridSpan w:val="24"/>
          </w:tcPr>
          <w:p>
            <w:pPr>
              <w:spacing w:after="0"/>
              <w:rPr>
                <w:rFonts w:ascii="Arial" w:cs="Arial" w:eastAsia="Arial" w:hAnsi="Arial"/>
                <w:sz w:val="14"/>
                <w:szCs w:val="14"/>
                <w:color w:val="0000FF"/>
              </w:rPr>
            </w:pPr>
            <w:hyperlink r:id="rId156">
              <w:r>
                <w:rPr>
                  <w:rFonts w:ascii="Arial" w:cs="Arial" w:eastAsia="Arial" w:hAnsi="Arial"/>
                  <w:sz w:val="14"/>
                  <w:szCs w:val="14"/>
                  <w:color w:val="0000FF"/>
                </w:rPr>
                <w:t>Contractor’s Assignment of Independent Contractor Services Agreement as Amended, from</w:t>
              </w:r>
            </w:hyperlink>
          </w:p>
        </w:tc>
        <w:tc>
          <w:tcPr>
            <w:tcW w:w="540" w:type="dxa"/>
            <w:vAlign w:val="bottom"/>
          </w:tcPr>
          <w:p>
            <w:pPr>
              <w:ind w:left="60"/>
              <w:spacing w:after="0"/>
              <w:rPr>
                <w:sz w:val="20"/>
                <w:szCs w:val="20"/>
                <w:color w:val="auto"/>
              </w:rPr>
            </w:pPr>
            <w:r>
              <w:rPr>
                <w:rFonts w:ascii="Arial" w:cs="Arial" w:eastAsia="Arial" w:hAnsi="Arial"/>
                <w:sz w:val="14"/>
                <w:szCs w:val="14"/>
                <w:color w:val="auto"/>
              </w:rPr>
              <w:t>10-K</w:t>
            </w:r>
          </w:p>
        </w:tc>
        <w:tc>
          <w:tcPr>
            <w:tcW w:w="640" w:type="dxa"/>
            <w:vAlign w:val="bottom"/>
          </w:tcPr>
          <w:p>
            <w:pPr>
              <w:jc w:val="right"/>
              <w:spacing w:after="0"/>
              <w:rPr>
                <w:sz w:val="20"/>
                <w:szCs w:val="20"/>
                <w:color w:val="auto"/>
              </w:rPr>
            </w:pPr>
            <w:r>
              <w:rPr>
                <w:rFonts w:ascii="Arial" w:cs="Arial" w:eastAsia="Arial" w:hAnsi="Arial"/>
                <w:sz w:val="14"/>
                <w:szCs w:val="14"/>
                <w:color w:val="auto"/>
              </w:rPr>
              <w:t>10.21</w:t>
            </w:r>
          </w:p>
        </w:tc>
        <w:tc>
          <w:tcPr>
            <w:tcW w:w="900" w:type="dxa"/>
            <w:vAlign w:val="bottom"/>
          </w:tcPr>
          <w:p>
            <w:pPr>
              <w:jc w:val="right"/>
              <w:spacing w:after="0"/>
              <w:rPr>
                <w:sz w:val="20"/>
                <w:szCs w:val="20"/>
                <w:color w:val="auto"/>
              </w:rPr>
            </w:pPr>
            <w:r>
              <w:rPr>
                <w:rFonts w:ascii="Arial" w:cs="Arial" w:eastAsia="Arial" w:hAnsi="Arial"/>
                <w:sz w:val="14"/>
                <w:szCs w:val="14"/>
                <w:color w:val="auto"/>
              </w:rPr>
              <w:t>03-07-2022</w:t>
            </w:r>
          </w:p>
        </w:tc>
        <w:tc>
          <w:tcPr>
            <w:tcW w:w="840" w:type="dxa"/>
            <w:vAlign w:val="bottom"/>
          </w:tcPr>
          <w:p>
            <w:pPr>
              <w:spacing w:after="0"/>
              <w:rPr>
                <w:sz w:val="14"/>
                <w:szCs w:val="14"/>
                <w:color w:val="auto"/>
              </w:rPr>
            </w:pPr>
          </w:p>
        </w:tc>
      </w:tr>
      <w:tr>
        <w:trPr>
          <w:trHeight w:val="129"/>
        </w:trPr>
        <w:tc>
          <w:tcPr>
            <w:tcW w:w="1020" w:type="dxa"/>
            <w:vAlign w:val="bottom"/>
          </w:tcPr>
          <w:p>
            <w:pPr>
              <w:spacing w:after="0"/>
              <w:rPr>
                <w:sz w:val="11"/>
                <w:szCs w:val="11"/>
                <w:color w:val="auto"/>
              </w:rPr>
            </w:pPr>
          </w:p>
        </w:tc>
        <w:tc>
          <w:tcPr>
            <w:tcW w:w="5240" w:type="dxa"/>
            <w:vAlign w:val="bottom"/>
            <w:tcBorders>
              <w:top w:val="single" w:sz="8" w:color="0000FF"/>
              <w:bottom w:val="single" w:sz="8" w:color="0000FF"/>
            </w:tcBorders>
            <w:gridSpan w:val="14"/>
          </w:tcPr>
          <w:p>
            <w:pPr>
              <w:spacing w:after="0" w:line="129" w:lineRule="exact"/>
              <w:rPr>
                <w:rFonts w:ascii="Arial" w:cs="Arial" w:eastAsia="Arial" w:hAnsi="Arial"/>
                <w:sz w:val="14"/>
                <w:szCs w:val="14"/>
                <w:color w:val="0000FF"/>
              </w:rPr>
            </w:pPr>
            <w:hyperlink r:id="rId156">
              <w:r>
                <w:rPr>
                  <w:rFonts w:ascii="Arial" w:cs="Arial" w:eastAsia="Arial" w:hAnsi="Arial"/>
                  <w:sz w:val="14"/>
                  <w:szCs w:val="14"/>
                  <w:color w:val="0000FF"/>
                </w:rPr>
                <w:t>Isabelle Geday to Magillem Design Services S.A., effective as of January 10, 2022</w:t>
              </w:r>
            </w:hyperlink>
          </w:p>
        </w:tc>
        <w:tc>
          <w:tcPr>
            <w:tcW w:w="600" w:type="dxa"/>
            <w:vAlign w:val="bottom"/>
            <w:tcBorders>
              <w:top w:val="single" w:sz="8" w:color="0000FF"/>
            </w:tcBorders>
            <w:gridSpan w:val="9"/>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9"/>
        </w:trPr>
        <w:tc>
          <w:tcPr>
            <w:tcW w:w="1020" w:type="dxa"/>
            <w:vAlign w:val="bottom"/>
          </w:tcPr>
          <w:p>
            <w:pPr>
              <w:jc w:val="center"/>
              <w:spacing w:after="0"/>
              <w:rPr>
                <w:sz w:val="20"/>
                <w:szCs w:val="20"/>
                <w:color w:val="auto"/>
              </w:rPr>
            </w:pPr>
            <w:r>
              <w:rPr>
                <w:rFonts w:ascii="Arial" w:cs="Arial" w:eastAsia="Arial" w:hAnsi="Arial"/>
                <w:sz w:val="14"/>
                <w:szCs w:val="14"/>
                <w:color w:val="auto"/>
              </w:rPr>
              <w:t>10.18</w:t>
            </w:r>
          </w:p>
        </w:tc>
        <w:tc>
          <w:tcPr>
            <w:tcW w:w="5900" w:type="dxa"/>
            <w:vAlign w:val="bottom"/>
            <w:gridSpan w:val="24"/>
          </w:tcPr>
          <w:p>
            <w:pPr>
              <w:spacing w:after="0"/>
              <w:rPr>
                <w:rFonts w:ascii="Arial" w:cs="Arial" w:eastAsia="Arial" w:hAnsi="Arial"/>
                <w:sz w:val="14"/>
                <w:szCs w:val="14"/>
                <w:color w:val="0000FF"/>
              </w:rPr>
            </w:pPr>
            <w:hyperlink r:id="rId157">
              <w:r>
                <w:rPr>
                  <w:rFonts w:ascii="Arial" w:cs="Arial" w:eastAsia="Arial" w:hAnsi="Arial"/>
                  <w:sz w:val="14"/>
                  <w:szCs w:val="14"/>
                  <w:color w:val="0000FF"/>
                </w:rPr>
                <w:t>Transchip Share Purchase and Shareholders Agreement, dated February 21, 2022</w:t>
              </w:r>
            </w:hyperlink>
          </w:p>
        </w:tc>
        <w:tc>
          <w:tcPr>
            <w:tcW w:w="540" w:type="dxa"/>
            <w:vAlign w:val="bottom"/>
          </w:tcPr>
          <w:p>
            <w:pPr>
              <w:ind w:left="60"/>
              <w:spacing w:after="0"/>
              <w:rPr>
                <w:sz w:val="20"/>
                <w:szCs w:val="20"/>
                <w:color w:val="auto"/>
              </w:rPr>
            </w:pPr>
            <w:r>
              <w:rPr>
                <w:rFonts w:ascii="Arial" w:cs="Arial" w:eastAsia="Arial" w:hAnsi="Arial"/>
                <w:sz w:val="14"/>
                <w:szCs w:val="14"/>
                <w:color w:val="auto"/>
              </w:rPr>
              <w:t>10-Q</w:t>
            </w:r>
          </w:p>
        </w:tc>
        <w:tc>
          <w:tcPr>
            <w:tcW w:w="640" w:type="dxa"/>
            <w:vAlign w:val="bottom"/>
          </w:tcPr>
          <w:p>
            <w:pPr>
              <w:jc w:val="right"/>
              <w:spacing w:after="0"/>
              <w:rPr>
                <w:sz w:val="20"/>
                <w:szCs w:val="20"/>
                <w:color w:val="auto"/>
              </w:rPr>
            </w:pPr>
            <w:r>
              <w:rPr>
                <w:rFonts w:ascii="Arial" w:cs="Arial" w:eastAsia="Arial" w:hAnsi="Arial"/>
                <w:sz w:val="14"/>
                <w:szCs w:val="14"/>
                <w:color w:val="auto"/>
              </w:rPr>
              <w:t>10.1</w:t>
            </w:r>
          </w:p>
        </w:tc>
        <w:tc>
          <w:tcPr>
            <w:tcW w:w="900" w:type="dxa"/>
            <w:vAlign w:val="bottom"/>
          </w:tcPr>
          <w:p>
            <w:pPr>
              <w:jc w:val="right"/>
              <w:spacing w:after="0"/>
              <w:rPr>
                <w:sz w:val="20"/>
                <w:szCs w:val="20"/>
                <w:color w:val="auto"/>
              </w:rPr>
            </w:pPr>
            <w:r>
              <w:rPr>
                <w:rFonts w:ascii="Arial" w:cs="Arial" w:eastAsia="Arial" w:hAnsi="Arial"/>
                <w:sz w:val="14"/>
                <w:szCs w:val="14"/>
                <w:color w:val="auto"/>
              </w:rPr>
              <w:t>05-10-2022</w:t>
            </w:r>
          </w:p>
        </w:tc>
        <w:tc>
          <w:tcPr>
            <w:tcW w:w="84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1020" w:type="dxa"/>
            <w:vAlign w:val="bottom"/>
          </w:tcPr>
          <w:p>
            <w:pPr>
              <w:jc w:val="center"/>
              <w:spacing w:after="0"/>
              <w:rPr>
                <w:sz w:val="20"/>
                <w:szCs w:val="20"/>
                <w:color w:val="auto"/>
              </w:rPr>
            </w:pPr>
            <w:r>
              <w:rPr>
                <w:rFonts w:ascii="Arial" w:cs="Arial" w:eastAsia="Arial" w:hAnsi="Arial"/>
                <w:sz w:val="14"/>
                <w:szCs w:val="14"/>
                <w:color w:val="auto"/>
              </w:rPr>
              <w:t>10.19</w:t>
            </w:r>
          </w:p>
        </w:tc>
        <w:tc>
          <w:tcPr>
            <w:tcW w:w="5400" w:type="dxa"/>
            <w:vAlign w:val="bottom"/>
            <w:tcBorders>
              <w:bottom w:val="single" w:sz="8" w:color="0000FF"/>
            </w:tcBorders>
            <w:gridSpan w:val="17"/>
          </w:tcPr>
          <w:p>
            <w:pPr>
              <w:spacing w:after="0"/>
              <w:rPr>
                <w:rFonts w:ascii="Arial" w:cs="Arial" w:eastAsia="Arial" w:hAnsi="Arial"/>
                <w:sz w:val="14"/>
                <w:szCs w:val="14"/>
                <w:color w:val="0000FF"/>
              </w:rPr>
            </w:pPr>
            <w:hyperlink r:id="rId158">
              <w:r>
                <w:rPr>
                  <w:rFonts w:ascii="Arial" w:cs="Arial" w:eastAsia="Arial" w:hAnsi="Arial"/>
                  <w:sz w:val="14"/>
                  <w:szCs w:val="14"/>
                  <w:color w:val="0000FF"/>
                </w:rPr>
                <w:t>Transchip Share Purchase and Shareholders Agreement, dated September 15, 2022</w:t>
              </w:r>
            </w:hyperlink>
          </w:p>
        </w:tc>
        <w:tc>
          <w:tcPr>
            <w:tcW w:w="500" w:type="dxa"/>
            <w:vAlign w:val="bottom"/>
            <w:gridSpan w:val="7"/>
          </w:tcPr>
          <w:p>
            <w:pPr>
              <w:spacing w:after="0"/>
              <w:rPr>
                <w:sz w:val="15"/>
                <w:szCs w:val="15"/>
                <w:color w:val="auto"/>
              </w:rPr>
            </w:pPr>
          </w:p>
        </w:tc>
        <w:tc>
          <w:tcPr>
            <w:tcW w:w="540" w:type="dxa"/>
            <w:vAlign w:val="bottom"/>
          </w:tcPr>
          <w:p>
            <w:pPr>
              <w:ind w:left="60"/>
              <w:spacing w:after="0"/>
              <w:rPr>
                <w:sz w:val="20"/>
                <w:szCs w:val="20"/>
                <w:color w:val="auto"/>
              </w:rPr>
            </w:pPr>
            <w:r>
              <w:rPr>
                <w:rFonts w:ascii="Arial" w:cs="Arial" w:eastAsia="Arial" w:hAnsi="Arial"/>
                <w:sz w:val="14"/>
                <w:szCs w:val="14"/>
                <w:color w:val="auto"/>
              </w:rPr>
              <w:t>10-Q</w:t>
            </w:r>
          </w:p>
        </w:tc>
        <w:tc>
          <w:tcPr>
            <w:tcW w:w="640" w:type="dxa"/>
            <w:vAlign w:val="bottom"/>
          </w:tcPr>
          <w:p>
            <w:pPr>
              <w:jc w:val="right"/>
              <w:spacing w:after="0"/>
              <w:rPr>
                <w:sz w:val="20"/>
                <w:szCs w:val="20"/>
                <w:color w:val="auto"/>
              </w:rPr>
            </w:pPr>
            <w:r>
              <w:rPr>
                <w:rFonts w:ascii="Arial" w:cs="Arial" w:eastAsia="Arial" w:hAnsi="Arial"/>
                <w:sz w:val="14"/>
                <w:szCs w:val="14"/>
                <w:color w:val="auto"/>
              </w:rPr>
              <w:t>10.1</w:t>
            </w:r>
          </w:p>
        </w:tc>
        <w:tc>
          <w:tcPr>
            <w:tcW w:w="900" w:type="dxa"/>
            <w:vAlign w:val="bottom"/>
          </w:tcPr>
          <w:p>
            <w:pPr>
              <w:jc w:val="right"/>
              <w:spacing w:after="0"/>
              <w:rPr>
                <w:sz w:val="20"/>
                <w:szCs w:val="20"/>
                <w:color w:val="auto"/>
              </w:rPr>
            </w:pPr>
            <w:r>
              <w:rPr>
                <w:rFonts w:ascii="Arial" w:cs="Arial" w:eastAsia="Arial" w:hAnsi="Arial"/>
                <w:sz w:val="14"/>
                <w:szCs w:val="14"/>
                <w:color w:val="auto"/>
              </w:rPr>
              <w:t>11-08-2022</w:t>
            </w:r>
          </w:p>
        </w:tc>
        <w:tc>
          <w:tcPr>
            <w:tcW w:w="840" w:type="dxa"/>
            <w:vAlign w:val="bottom"/>
          </w:tcPr>
          <w:p>
            <w:pPr>
              <w:spacing w:after="0"/>
              <w:rPr>
                <w:sz w:val="15"/>
                <w:szCs w:val="15"/>
                <w:color w:val="auto"/>
              </w:rPr>
            </w:pPr>
          </w:p>
        </w:tc>
      </w:tr>
      <w:tr>
        <w:trPr>
          <w:trHeight w:val="183"/>
        </w:trPr>
        <w:tc>
          <w:tcPr>
            <w:tcW w:w="1020" w:type="dxa"/>
            <w:vAlign w:val="bottom"/>
          </w:tcPr>
          <w:p>
            <w:pPr>
              <w:jc w:val="center"/>
              <w:spacing w:after="0"/>
              <w:rPr>
                <w:sz w:val="20"/>
                <w:szCs w:val="20"/>
                <w:color w:val="auto"/>
              </w:rPr>
            </w:pPr>
            <w:r>
              <w:rPr>
                <w:rFonts w:ascii="Arial" w:cs="Arial" w:eastAsia="Arial" w:hAnsi="Arial"/>
                <w:sz w:val="14"/>
                <w:szCs w:val="14"/>
                <w:color w:val="auto"/>
              </w:rPr>
              <w:t>10.20#</w:t>
            </w:r>
          </w:p>
        </w:tc>
        <w:tc>
          <w:tcPr>
            <w:tcW w:w="5900" w:type="dxa"/>
            <w:vAlign w:val="bottom"/>
            <w:gridSpan w:val="24"/>
          </w:tcPr>
          <w:p>
            <w:pPr>
              <w:spacing w:after="0"/>
              <w:rPr>
                <w:rFonts w:ascii="Arial" w:cs="Arial" w:eastAsia="Arial" w:hAnsi="Arial"/>
                <w:sz w:val="14"/>
                <w:szCs w:val="14"/>
                <w:color w:val="0000FF"/>
              </w:rPr>
            </w:pPr>
            <w:hyperlink r:id="rId159">
              <w:r>
                <w:rPr>
                  <w:rFonts w:ascii="Arial" w:cs="Arial" w:eastAsia="Arial" w:hAnsi="Arial"/>
                  <w:sz w:val="14"/>
                  <w:szCs w:val="14"/>
                  <w:color w:val="0000FF"/>
                </w:rPr>
                <w:t>2022 Employment Inducement Incentive Plan</w:t>
              </w:r>
            </w:hyperlink>
          </w:p>
        </w:tc>
        <w:tc>
          <w:tcPr>
            <w:tcW w:w="540" w:type="dxa"/>
            <w:vAlign w:val="bottom"/>
          </w:tcPr>
          <w:p>
            <w:pPr>
              <w:ind w:left="60"/>
              <w:spacing w:after="0"/>
              <w:rPr>
                <w:sz w:val="20"/>
                <w:szCs w:val="20"/>
                <w:color w:val="auto"/>
              </w:rPr>
            </w:pPr>
            <w:r>
              <w:rPr>
                <w:rFonts w:ascii="Arial" w:cs="Arial" w:eastAsia="Arial" w:hAnsi="Arial"/>
                <w:sz w:val="14"/>
                <w:szCs w:val="14"/>
                <w:color w:val="auto"/>
              </w:rPr>
              <w:t>10-Q</w:t>
            </w:r>
          </w:p>
        </w:tc>
        <w:tc>
          <w:tcPr>
            <w:tcW w:w="640" w:type="dxa"/>
            <w:vAlign w:val="bottom"/>
          </w:tcPr>
          <w:p>
            <w:pPr>
              <w:jc w:val="right"/>
              <w:spacing w:after="0"/>
              <w:rPr>
                <w:sz w:val="20"/>
                <w:szCs w:val="20"/>
                <w:color w:val="auto"/>
              </w:rPr>
            </w:pPr>
            <w:r>
              <w:rPr>
                <w:rFonts w:ascii="Arial" w:cs="Arial" w:eastAsia="Arial" w:hAnsi="Arial"/>
                <w:sz w:val="14"/>
                <w:szCs w:val="14"/>
                <w:color w:val="auto"/>
              </w:rPr>
              <w:t>10.2</w:t>
            </w:r>
          </w:p>
        </w:tc>
        <w:tc>
          <w:tcPr>
            <w:tcW w:w="900" w:type="dxa"/>
            <w:vAlign w:val="bottom"/>
          </w:tcPr>
          <w:p>
            <w:pPr>
              <w:jc w:val="right"/>
              <w:spacing w:after="0"/>
              <w:rPr>
                <w:sz w:val="20"/>
                <w:szCs w:val="20"/>
                <w:color w:val="auto"/>
              </w:rPr>
            </w:pPr>
            <w:r>
              <w:rPr>
                <w:rFonts w:ascii="Arial" w:cs="Arial" w:eastAsia="Arial" w:hAnsi="Arial"/>
                <w:sz w:val="14"/>
                <w:szCs w:val="14"/>
                <w:color w:val="auto"/>
              </w:rPr>
              <w:t>11-08-2022</w:t>
            </w:r>
          </w:p>
        </w:tc>
        <w:tc>
          <w:tcPr>
            <w:tcW w:w="84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1020" w:type="dxa"/>
            <w:vAlign w:val="bottom"/>
          </w:tcPr>
          <w:p>
            <w:pPr>
              <w:jc w:val="center"/>
              <w:spacing w:after="0"/>
              <w:rPr>
                <w:sz w:val="20"/>
                <w:szCs w:val="20"/>
                <w:color w:val="auto"/>
              </w:rPr>
            </w:pPr>
            <w:r>
              <w:rPr>
                <w:rFonts w:ascii="Arial" w:cs="Arial" w:eastAsia="Arial" w:hAnsi="Arial"/>
                <w:sz w:val="14"/>
                <w:szCs w:val="14"/>
                <w:color w:val="auto"/>
              </w:rPr>
              <w:t>10.21#</w:t>
            </w:r>
          </w:p>
        </w:tc>
        <w:tc>
          <w:tcPr>
            <w:tcW w:w="5900" w:type="dxa"/>
            <w:vAlign w:val="bottom"/>
            <w:gridSpan w:val="24"/>
          </w:tcPr>
          <w:p>
            <w:pPr>
              <w:spacing w:after="0"/>
              <w:rPr>
                <w:rFonts w:ascii="Arial" w:cs="Arial" w:eastAsia="Arial" w:hAnsi="Arial"/>
                <w:sz w:val="14"/>
                <w:szCs w:val="14"/>
                <w:color w:val="0000FF"/>
              </w:rPr>
            </w:pPr>
            <w:hyperlink r:id="rId160">
              <w:r>
                <w:rPr>
                  <w:rFonts w:ascii="Arial" w:cs="Arial" w:eastAsia="Arial" w:hAnsi="Arial"/>
                  <w:sz w:val="14"/>
                  <w:szCs w:val="14"/>
                  <w:color w:val="0000FF"/>
                </w:rPr>
                <w:t>Form of Stock Option Grant Notice and Stock Option Agreement under the 2022</w:t>
              </w:r>
            </w:hyperlink>
          </w:p>
        </w:tc>
        <w:tc>
          <w:tcPr>
            <w:tcW w:w="540" w:type="dxa"/>
            <w:vAlign w:val="bottom"/>
          </w:tcPr>
          <w:p>
            <w:pPr>
              <w:ind w:left="60"/>
              <w:spacing w:after="0"/>
              <w:rPr>
                <w:sz w:val="20"/>
                <w:szCs w:val="20"/>
                <w:color w:val="auto"/>
              </w:rPr>
            </w:pPr>
            <w:r>
              <w:rPr>
                <w:rFonts w:ascii="Arial" w:cs="Arial" w:eastAsia="Arial" w:hAnsi="Arial"/>
                <w:sz w:val="14"/>
                <w:szCs w:val="14"/>
                <w:color w:val="auto"/>
              </w:rPr>
              <w:t>10-Q</w:t>
            </w:r>
          </w:p>
        </w:tc>
        <w:tc>
          <w:tcPr>
            <w:tcW w:w="640" w:type="dxa"/>
            <w:vAlign w:val="bottom"/>
          </w:tcPr>
          <w:p>
            <w:pPr>
              <w:jc w:val="right"/>
              <w:spacing w:after="0"/>
              <w:rPr>
                <w:sz w:val="20"/>
                <w:szCs w:val="20"/>
                <w:color w:val="auto"/>
              </w:rPr>
            </w:pPr>
            <w:r>
              <w:rPr>
                <w:rFonts w:ascii="Arial" w:cs="Arial" w:eastAsia="Arial" w:hAnsi="Arial"/>
                <w:sz w:val="14"/>
                <w:szCs w:val="14"/>
                <w:color w:val="auto"/>
              </w:rPr>
              <w:t>10.3</w:t>
            </w:r>
          </w:p>
        </w:tc>
        <w:tc>
          <w:tcPr>
            <w:tcW w:w="900" w:type="dxa"/>
            <w:vAlign w:val="bottom"/>
          </w:tcPr>
          <w:p>
            <w:pPr>
              <w:jc w:val="right"/>
              <w:spacing w:after="0"/>
              <w:rPr>
                <w:sz w:val="20"/>
                <w:szCs w:val="20"/>
                <w:color w:val="auto"/>
              </w:rPr>
            </w:pPr>
            <w:r>
              <w:rPr>
                <w:rFonts w:ascii="Arial" w:cs="Arial" w:eastAsia="Arial" w:hAnsi="Arial"/>
                <w:sz w:val="14"/>
                <w:szCs w:val="14"/>
                <w:color w:val="auto"/>
              </w:rPr>
              <w:t>11-08-2022</w:t>
            </w:r>
          </w:p>
        </w:tc>
        <w:tc>
          <w:tcPr>
            <w:tcW w:w="840" w:type="dxa"/>
            <w:vAlign w:val="bottom"/>
          </w:tcPr>
          <w:p>
            <w:pPr>
              <w:spacing w:after="0"/>
              <w:rPr>
                <w:sz w:val="15"/>
                <w:szCs w:val="15"/>
                <w:color w:val="auto"/>
              </w:rPr>
            </w:pPr>
          </w:p>
        </w:tc>
      </w:tr>
      <w:tr>
        <w:trPr>
          <w:trHeight w:val="129"/>
        </w:trPr>
        <w:tc>
          <w:tcPr>
            <w:tcW w:w="1020" w:type="dxa"/>
            <w:vAlign w:val="bottom"/>
          </w:tcPr>
          <w:p>
            <w:pPr>
              <w:spacing w:after="0"/>
              <w:rPr>
                <w:sz w:val="11"/>
                <w:szCs w:val="11"/>
                <w:color w:val="auto"/>
              </w:rPr>
            </w:pPr>
          </w:p>
        </w:tc>
        <w:tc>
          <w:tcPr>
            <w:tcW w:w="5100" w:type="dxa"/>
            <w:vAlign w:val="bottom"/>
            <w:tcBorders>
              <w:top w:val="single" w:sz="8" w:color="0000FF"/>
            </w:tcBorders>
            <w:gridSpan w:val="13"/>
          </w:tcPr>
          <w:p>
            <w:pPr>
              <w:spacing w:after="0" w:line="129" w:lineRule="exact"/>
              <w:rPr>
                <w:rFonts w:ascii="Arial" w:cs="Arial" w:eastAsia="Arial" w:hAnsi="Arial"/>
                <w:sz w:val="14"/>
                <w:szCs w:val="14"/>
                <w:color w:val="0000FF"/>
              </w:rPr>
            </w:pPr>
            <w:hyperlink r:id="rId160">
              <w:r>
                <w:rPr>
                  <w:rFonts w:ascii="Arial" w:cs="Arial" w:eastAsia="Arial" w:hAnsi="Arial"/>
                  <w:sz w:val="14"/>
                  <w:szCs w:val="14"/>
                  <w:color w:val="0000FF"/>
                </w:rPr>
                <w:t>Employment Inducement Plan</w:t>
              </w:r>
            </w:hyperlink>
          </w:p>
        </w:tc>
        <w:tc>
          <w:tcPr>
            <w:tcW w:w="180" w:type="dxa"/>
            <w:vAlign w:val="bottom"/>
            <w:gridSpan w:val="3"/>
          </w:tcPr>
          <w:p>
            <w:pPr>
              <w:spacing w:after="0"/>
              <w:rPr>
                <w:sz w:val="11"/>
                <w:szCs w:val="11"/>
                <w:color w:val="auto"/>
              </w:rPr>
            </w:pPr>
          </w:p>
        </w:tc>
        <w:tc>
          <w:tcPr>
            <w:tcW w:w="4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69"/>
        </w:trPr>
        <w:tc>
          <w:tcPr>
            <w:tcW w:w="1020" w:type="dxa"/>
            <w:vAlign w:val="bottom"/>
          </w:tcPr>
          <w:p>
            <w:pPr>
              <w:jc w:val="center"/>
              <w:spacing w:after="0"/>
              <w:rPr>
                <w:sz w:val="20"/>
                <w:szCs w:val="20"/>
                <w:color w:val="auto"/>
              </w:rPr>
            </w:pPr>
            <w:r>
              <w:rPr>
                <w:rFonts w:ascii="Arial" w:cs="Arial" w:eastAsia="Arial" w:hAnsi="Arial"/>
                <w:sz w:val="14"/>
                <w:szCs w:val="14"/>
                <w:color w:val="auto"/>
              </w:rPr>
              <w:t>10.22#</w:t>
            </w:r>
          </w:p>
        </w:tc>
        <w:tc>
          <w:tcPr>
            <w:tcW w:w="5900" w:type="dxa"/>
            <w:vAlign w:val="bottom"/>
            <w:gridSpan w:val="24"/>
          </w:tcPr>
          <w:p>
            <w:pPr>
              <w:spacing w:after="0"/>
              <w:rPr>
                <w:rFonts w:ascii="Arial" w:cs="Arial" w:eastAsia="Arial" w:hAnsi="Arial"/>
                <w:sz w:val="14"/>
                <w:szCs w:val="14"/>
                <w:color w:val="0000FF"/>
              </w:rPr>
            </w:pPr>
            <w:hyperlink r:id="rId161">
              <w:r>
                <w:rPr>
                  <w:rFonts w:ascii="Arial" w:cs="Arial" w:eastAsia="Arial" w:hAnsi="Arial"/>
                  <w:sz w:val="14"/>
                  <w:szCs w:val="14"/>
                  <w:color w:val="0000FF"/>
                </w:rPr>
                <w:t>Form of Restricted Stock Unit Award Grant Notice and Restricted Stock Unit Award</w:t>
              </w:r>
            </w:hyperlink>
          </w:p>
        </w:tc>
        <w:tc>
          <w:tcPr>
            <w:tcW w:w="540" w:type="dxa"/>
            <w:vAlign w:val="bottom"/>
          </w:tcPr>
          <w:p>
            <w:pPr>
              <w:ind w:left="60"/>
              <w:spacing w:after="0"/>
              <w:rPr>
                <w:sz w:val="20"/>
                <w:szCs w:val="20"/>
                <w:color w:val="auto"/>
              </w:rPr>
            </w:pPr>
            <w:r>
              <w:rPr>
                <w:rFonts w:ascii="Arial" w:cs="Arial" w:eastAsia="Arial" w:hAnsi="Arial"/>
                <w:sz w:val="14"/>
                <w:szCs w:val="14"/>
                <w:color w:val="auto"/>
              </w:rPr>
              <w:t>10-Q</w:t>
            </w:r>
          </w:p>
        </w:tc>
        <w:tc>
          <w:tcPr>
            <w:tcW w:w="640" w:type="dxa"/>
            <w:vAlign w:val="bottom"/>
          </w:tcPr>
          <w:p>
            <w:pPr>
              <w:jc w:val="right"/>
              <w:spacing w:after="0"/>
              <w:rPr>
                <w:sz w:val="20"/>
                <w:szCs w:val="20"/>
                <w:color w:val="auto"/>
              </w:rPr>
            </w:pPr>
            <w:r>
              <w:rPr>
                <w:rFonts w:ascii="Arial" w:cs="Arial" w:eastAsia="Arial" w:hAnsi="Arial"/>
                <w:sz w:val="14"/>
                <w:szCs w:val="14"/>
                <w:color w:val="auto"/>
              </w:rPr>
              <w:t>10.4</w:t>
            </w:r>
          </w:p>
        </w:tc>
        <w:tc>
          <w:tcPr>
            <w:tcW w:w="900" w:type="dxa"/>
            <w:vAlign w:val="bottom"/>
          </w:tcPr>
          <w:p>
            <w:pPr>
              <w:jc w:val="right"/>
              <w:spacing w:after="0"/>
              <w:rPr>
                <w:sz w:val="20"/>
                <w:szCs w:val="20"/>
                <w:color w:val="auto"/>
              </w:rPr>
            </w:pPr>
            <w:r>
              <w:rPr>
                <w:rFonts w:ascii="Arial" w:cs="Arial" w:eastAsia="Arial" w:hAnsi="Arial"/>
                <w:sz w:val="14"/>
                <w:szCs w:val="14"/>
                <w:color w:val="auto"/>
              </w:rPr>
              <w:t>11-08-2022</w:t>
            </w:r>
          </w:p>
        </w:tc>
        <w:tc>
          <w:tcPr>
            <w:tcW w:w="840" w:type="dxa"/>
            <w:vAlign w:val="bottom"/>
          </w:tcPr>
          <w:p>
            <w:pPr>
              <w:spacing w:after="0"/>
              <w:rPr>
                <w:sz w:val="14"/>
                <w:szCs w:val="14"/>
                <w:color w:val="auto"/>
              </w:rPr>
            </w:pPr>
          </w:p>
        </w:tc>
      </w:tr>
      <w:tr>
        <w:trPr>
          <w:trHeight w:val="128"/>
        </w:trPr>
        <w:tc>
          <w:tcPr>
            <w:tcW w:w="1020" w:type="dxa"/>
            <w:vAlign w:val="bottom"/>
          </w:tcPr>
          <w:p>
            <w:pPr>
              <w:spacing w:after="0"/>
              <w:rPr>
                <w:sz w:val="11"/>
                <w:szCs w:val="11"/>
                <w:color w:val="auto"/>
              </w:rPr>
            </w:pPr>
          </w:p>
        </w:tc>
        <w:tc>
          <w:tcPr>
            <w:tcW w:w="428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rPr>
            </w:pPr>
            <w:hyperlink r:id="rId161">
              <w:r>
                <w:rPr>
                  <w:rFonts w:ascii="Arial" w:cs="Arial" w:eastAsia="Arial" w:hAnsi="Arial"/>
                  <w:sz w:val="14"/>
                  <w:szCs w:val="14"/>
                  <w:color w:val="0000FF"/>
                </w:rPr>
                <w:t>Agreement under the 2022 Employment Inducement Incentive Plan</w:t>
              </w:r>
            </w:hyperlink>
          </w:p>
        </w:tc>
        <w:tc>
          <w:tcPr>
            <w:tcW w:w="1000" w:type="dxa"/>
            <w:vAlign w:val="bottom"/>
            <w:tcBorders>
              <w:top w:val="single" w:sz="8" w:color="0000FF"/>
            </w:tcBorders>
            <w:gridSpan w:val="6"/>
          </w:tcPr>
          <w:p>
            <w:pPr>
              <w:spacing w:after="0"/>
              <w:rPr>
                <w:sz w:val="11"/>
                <w:szCs w:val="11"/>
                <w:color w:val="auto"/>
              </w:rPr>
            </w:pPr>
          </w:p>
        </w:tc>
        <w:tc>
          <w:tcPr>
            <w:tcW w:w="4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9"/>
        </w:trPr>
        <w:tc>
          <w:tcPr>
            <w:tcW w:w="1020" w:type="dxa"/>
            <w:vAlign w:val="bottom"/>
          </w:tcPr>
          <w:p>
            <w:pPr>
              <w:jc w:val="center"/>
              <w:spacing w:after="0"/>
              <w:rPr>
                <w:sz w:val="20"/>
                <w:szCs w:val="20"/>
                <w:color w:val="auto"/>
              </w:rPr>
            </w:pPr>
            <w:r>
              <w:rPr>
                <w:rFonts w:ascii="Arial" w:cs="Arial" w:eastAsia="Arial" w:hAnsi="Arial"/>
                <w:sz w:val="14"/>
                <w:szCs w:val="14"/>
                <w:color w:val="auto"/>
              </w:rPr>
              <w:t>10.23</w:t>
            </w:r>
          </w:p>
        </w:tc>
        <w:tc>
          <w:tcPr>
            <w:tcW w:w="4300" w:type="dxa"/>
            <w:vAlign w:val="bottom"/>
            <w:tcBorders>
              <w:bottom w:val="single" w:sz="8" w:color="0000FF"/>
            </w:tcBorders>
            <w:gridSpan w:val="11"/>
          </w:tcPr>
          <w:p>
            <w:pPr>
              <w:spacing w:after="0"/>
              <w:rPr>
                <w:rFonts w:ascii="Arial" w:cs="Arial" w:eastAsia="Arial" w:hAnsi="Arial"/>
                <w:sz w:val="14"/>
                <w:szCs w:val="14"/>
                <w:color w:val="0000FF"/>
              </w:rPr>
            </w:pPr>
            <w:hyperlink r:id="rId162">
              <w:r>
                <w:rPr>
                  <w:rFonts w:ascii="Arial" w:cs="Arial" w:eastAsia="Arial" w:hAnsi="Arial"/>
                  <w:sz w:val="14"/>
                  <w:szCs w:val="14"/>
                  <w:color w:val="0000FF"/>
                </w:rPr>
                <w:t>Policy Relating to Recovery of Erroneously Awarded Compensation</w:t>
              </w:r>
            </w:hyperlink>
          </w:p>
        </w:tc>
        <w:tc>
          <w:tcPr>
            <w:tcW w:w="1600" w:type="dxa"/>
            <w:vAlign w:val="bottom"/>
            <w:gridSpan w:val="13"/>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4"/>
                <w:szCs w:val="14"/>
                <w:color w:val="auto"/>
              </w:rPr>
              <w:t>10-K</w:t>
            </w:r>
          </w:p>
        </w:tc>
        <w:tc>
          <w:tcPr>
            <w:tcW w:w="640" w:type="dxa"/>
            <w:vAlign w:val="bottom"/>
          </w:tcPr>
          <w:p>
            <w:pPr>
              <w:jc w:val="right"/>
              <w:spacing w:after="0"/>
              <w:rPr>
                <w:sz w:val="20"/>
                <w:szCs w:val="20"/>
                <w:color w:val="auto"/>
              </w:rPr>
            </w:pPr>
            <w:r>
              <w:rPr>
                <w:rFonts w:ascii="Arial" w:cs="Arial" w:eastAsia="Arial" w:hAnsi="Arial"/>
                <w:sz w:val="14"/>
                <w:szCs w:val="14"/>
                <w:color w:val="auto"/>
              </w:rPr>
              <w:t>97.1</w:t>
            </w:r>
          </w:p>
        </w:tc>
        <w:tc>
          <w:tcPr>
            <w:tcW w:w="900" w:type="dxa"/>
            <w:vAlign w:val="bottom"/>
          </w:tcPr>
          <w:p>
            <w:pPr>
              <w:jc w:val="right"/>
              <w:spacing w:after="0"/>
              <w:rPr>
                <w:sz w:val="20"/>
                <w:szCs w:val="20"/>
                <w:color w:val="auto"/>
              </w:rPr>
            </w:pPr>
            <w:r>
              <w:rPr>
                <w:rFonts w:ascii="Arial" w:cs="Arial" w:eastAsia="Arial" w:hAnsi="Arial"/>
                <w:sz w:val="14"/>
                <w:szCs w:val="14"/>
                <w:color w:val="auto"/>
              </w:rPr>
              <w:t>02-20-2024</w:t>
            </w:r>
          </w:p>
        </w:tc>
        <w:tc>
          <w:tcPr>
            <w:tcW w:w="840" w:type="dxa"/>
            <w:vAlign w:val="bottom"/>
          </w:tcPr>
          <w:p>
            <w:pPr>
              <w:spacing w:after="0"/>
              <w:rPr>
                <w:sz w:val="14"/>
                <w:szCs w:val="14"/>
                <w:color w:val="auto"/>
              </w:rPr>
            </w:pPr>
          </w:p>
        </w:tc>
      </w:tr>
      <w:tr>
        <w:trPr>
          <w:trHeight w:val="183"/>
        </w:trPr>
        <w:tc>
          <w:tcPr>
            <w:tcW w:w="1020" w:type="dxa"/>
            <w:vAlign w:val="bottom"/>
          </w:tcPr>
          <w:p>
            <w:pPr>
              <w:jc w:val="center"/>
              <w:spacing w:after="0"/>
              <w:rPr>
                <w:sz w:val="20"/>
                <w:szCs w:val="20"/>
                <w:color w:val="auto"/>
              </w:rPr>
            </w:pPr>
            <w:r>
              <w:rPr>
                <w:rFonts w:ascii="Arial" w:cs="Arial" w:eastAsia="Arial" w:hAnsi="Arial"/>
                <w:sz w:val="14"/>
                <w:szCs w:val="14"/>
                <w:color w:val="auto"/>
              </w:rPr>
              <w:t>10.24#</w:t>
            </w:r>
          </w:p>
        </w:tc>
        <w:tc>
          <w:tcPr>
            <w:tcW w:w="4460" w:type="dxa"/>
            <w:vAlign w:val="bottom"/>
            <w:tcBorders>
              <w:bottom w:val="single" w:sz="8" w:color="0000FF"/>
            </w:tcBorders>
            <w:gridSpan w:val="12"/>
          </w:tcPr>
          <w:p>
            <w:pPr>
              <w:spacing w:after="0"/>
              <w:rPr>
                <w:rFonts w:ascii="Arial" w:cs="Arial" w:eastAsia="Arial" w:hAnsi="Arial"/>
                <w:sz w:val="14"/>
                <w:szCs w:val="14"/>
                <w:color w:val="0000FF"/>
              </w:rPr>
            </w:pPr>
            <w:hyperlink r:id="rId163">
              <w:r>
                <w:rPr>
                  <w:rFonts w:ascii="Arial" w:cs="Arial" w:eastAsia="Arial" w:hAnsi="Arial"/>
                  <w:sz w:val="14"/>
                  <w:szCs w:val="14"/>
                  <w:color w:val="0000FF"/>
                </w:rPr>
                <w:t>Amended and Restated Change in Control and Severance Agreement</w:t>
              </w:r>
            </w:hyperlink>
          </w:p>
        </w:tc>
        <w:tc>
          <w:tcPr>
            <w:tcW w:w="1440" w:type="dxa"/>
            <w:vAlign w:val="bottom"/>
            <w:gridSpan w:val="12"/>
          </w:tcPr>
          <w:p>
            <w:pPr>
              <w:spacing w:after="0"/>
              <w:rPr>
                <w:sz w:val="15"/>
                <w:szCs w:val="15"/>
                <w:color w:val="auto"/>
              </w:rPr>
            </w:pPr>
          </w:p>
        </w:tc>
        <w:tc>
          <w:tcPr>
            <w:tcW w:w="540" w:type="dxa"/>
            <w:vAlign w:val="bottom"/>
          </w:tcPr>
          <w:p>
            <w:pPr>
              <w:ind w:left="60"/>
              <w:spacing w:after="0"/>
              <w:rPr>
                <w:sz w:val="20"/>
                <w:szCs w:val="20"/>
                <w:color w:val="auto"/>
              </w:rPr>
            </w:pPr>
            <w:r>
              <w:rPr>
                <w:rFonts w:ascii="Arial" w:cs="Arial" w:eastAsia="Arial" w:hAnsi="Arial"/>
                <w:sz w:val="14"/>
                <w:szCs w:val="14"/>
                <w:color w:val="auto"/>
              </w:rPr>
              <w:t>10-Q</w:t>
            </w:r>
          </w:p>
        </w:tc>
        <w:tc>
          <w:tcPr>
            <w:tcW w:w="640" w:type="dxa"/>
            <w:vAlign w:val="bottom"/>
          </w:tcPr>
          <w:p>
            <w:pPr>
              <w:jc w:val="right"/>
              <w:spacing w:after="0"/>
              <w:rPr>
                <w:sz w:val="20"/>
                <w:szCs w:val="20"/>
                <w:color w:val="auto"/>
              </w:rPr>
            </w:pPr>
            <w:r>
              <w:rPr>
                <w:rFonts w:ascii="Arial" w:cs="Arial" w:eastAsia="Arial" w:hAnsi="Arial"/>
                <w:sz w:val="14"/>
                <w:szCs w:val="14"/>
                <w:color w:val="auto"/>
              </w:rPr>
              <w:t>10.1</w:t>
            </w:r>
          </w:p>
        </w:tc>
        <w:tc>
          <w:tcPr>
            <w:tcW w:w="900" w:type="dxa"/>
            <w:vAlign w:val="bottom"/>
          </w:tcPr>
          <w:p>
            <w:pPr>
              <w:jc w:val="right"/>
              <w:spacing w:after="0"/>
              <w:rPr>
                <w:sz w:val="20"/>
                <w:szCs w:val="20"/>
                <w:color w:val="auto"/>
              </w:rPr>
            </w:pPr>
            <w:r>
              <w:rPr>
                <w:rFonts w:ascii="Arial" w:cs="Arial" w:eastAsia="Arial" w:hAnsi="Arial"/>
                <w:sz w:val="14"/>
                <w:szCs w:val="14"/>
                <w:color w:val="auto"/>
              </w:rPr>
              <w:t>08-01-2024</w:t>
            </w:r>
          </w:p>
        </w:tc>
        <w:tc>
          <w:tcPr>
            <w:tcW w:w="840" w:type="dxa"/>
            <w:vAlign w:val="bottom"/>
          </w:tcPr>
          <w:p>
            <w:pPr>
              <w:spacing w:after="0"/>
              <w:rPr>
                <w:sz w:val="15"/>
                <w:szCs w:val="15"/>
                <w:color w:val="auto"/>
              </w:rPr>
            </w:pPr>
          </w:p>
        </w:tc>
      </w:tr>
      <w:tr>
        <w:trPr>
          <w:trHeight w:val="183"/>
        </w:trPr>
        <w:tc>
          <w:tcPr>
            <w:tcW w:w="1020" w:type="dxa"/>
            <w:vAlign w:val="bottom"/>
          </w:tcPr>
          <w:p>
            <w:pPr>
              <w:jc w:val="center"/>
              <w:spacing w:after="0"/>
              <w:rPr>
                <w:sz w:val="20"/>
                <w:szCs w:val="20"/>
                <w:color w:val="auto"/>
              </w:rPr>
            </w:pPr>
            <w:r>
              <w:rPr>
                <w:rFonts w:ascii="Arial" w:cs="Arial" w:eastAsia="Arial" w:hAnsi="Arial"/>
                <w:sz w:val="14"/>
                <w:szCs w:val="14"/>
                <w:color w:val="auto"/>
              </w:rPr>
              <w:t>21.1</w:t>
            </w:r>
          </w:p>
        </w:tc>
        <w:tc>
          <w:tcPr>
            <w:tcW w:w="5900" w:type="dxa"/>
            <w:vAlign w:val="bottom"/>
            <w:gridSpan w:val="24"/>
          </w:tcPr>
          <w:p>
            <w:pPr>
              <w:spacing w:after="0"/>
              <w:rPr>
                <w:sz w:val="20"/>
                <w:szCs w:val="20"/>
                <w:color w:val="auto"/>
              </w:rPr>
            </w:pPr>
            <w:r>
              <w:rPr>
                <w:rFonts w:ascii="Arial" w:cs="Arial" w:eastAsia="Arial" w:hAnsi="Arial"/>
                <w:sz w:val="14"/>
                <w:szCs w:val="14"/>
                <w:color w:val="0000FF"/>
              </w:rPr>
              <w:t>Subsidiaries of Arteris, Inc.</w:t>
            </w: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0"/>
        </w:trPr>
        <w:tc>
          <w:tcPr>
            <w:tcW w:w="10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1020" w:type="dxa"/>
            <w:vAlign w:val="bottom"/>
          </w:tcPr>
          <w:p>
            <w:pPr>
              <w:jc w:val="center"/>
              <w:spacing w:after="0"/>
              <w:rPr>
                <w:sz w:val="20"/>
                <w:szCs w:val="20"/>
                <w:color w:val="auto"/>
              </w:rPr>
            </w:pPr>
            <w:r>
              <w:rPr>
                <w:rFonts w:ascii="Arial" w:cs="Arial" w:eastAsia="Arial" w:hAnsi="Arial"/>
                <w:sz w:val="14"/>
                <w:szCs w:val="14"/>
                <w:color w:val="auto"/>
              </w:rPr>
              <w:t>23.1</w:t>
            </w:r>
          </w:p>
        </w:tc>
        <w:tc>
          <w:tcPr>
            <w:tcW w:w="216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rPr>
              <w:t>Consent of Deloitte &amp; Touche LLP</w:t>
            </w:r>
          </w:p>
        </w:tc>
        <w:tc>
          <w:tcPr>
            <w:tcW w:w="3740" w:type="dxa"/>
            <w:vAlign w:val="bottom"/>
            <w:gridSpan w:val="20"/>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96"/>
        </w:trPr>
        <w:tc>
          <w:tcPr>
            <w:tcW w:w="1020" w:type="dxa"/>
            <w:vAlign w:val="bottom"/>
          </w:tcPr>
          <w:p>
            <w:pPr>
              <w:jc w:val="center"/>
              <w:spacing w:after="0"/>
              <w:rPr>
                <w:sz w:val="20"/>
                <w:szCs w:val="20"/>
                <w:color w:val="auto"/>
              </w:rPr>
            </w:pPr>
            <w:r>
              <w:rPr>
                <w:rFonts w:ascii="Arial" w:cs="Arial" w:eastAsia="Arial" w:hAnsi="Arial"/>
                <w:sz w:val="14"/>
                <w:szCs w:val="14"/>
                <w:color w:val="auto"/>
              </w:rPr>
              <w:t>24.1</w:t>
            </w:r>
          </w:p>
        </w:tc>
        <w:tc>
          <w:tcPr>
            <w:tcW w:w="304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rPr>
              <w:t>Power of Attorney (included on signature page).</w:t>
            </w:r>
          </w:p>
        </w:tc>
        <w:tc>
          <w:tcPr>
            <w:tcW w:w="2860" w:type="dxa"/>
            <w:vAlign w:val="bottom"/>
            <w:gridSpan w:val="18"/>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96"/>
        </w:trPr>
        <w:tc>
          <w:tcPr>
            <w:tcW w:w="1020" w:type="dxa"/>
            <w:vAlign w:val="bottom"/>
          </w:tcPr>
          <w:p>
            <w:pPr>
              <w:jc w:val="center"/>
              <w:spacing w:after="0"/>
              <w:rPr>
                <w:sz w:val="20"/>
                <w:szCs w:val="20"/>
                <w:color w:val="auto"/>
              </w:rPr>
            </w:pPr>
            <w:r>
              <w:rPr>
                <w:rFonts w:ascii="Arial" w:cs="Arial" w:eastAsia="Arial" w:hAnsi="Arial"/>
                <w:sz w:val="14"/>
                <w:szCs w:val="14"/>
                <w:color w:val="auto"/>
              </w:rPr>
              <w:t>31.1</w:t>
            </w:r>
          </w:p>
        </w:tc>
        <w:tc>
          <w:tcPr>
            <w:tcW w:w="5900" w:type="dxa"/>
            <w:vAlign w:val="bottom"/>
            <w:gridSpan w:val="24"/>
          </w:tcPr>
          <w:p>
            <w:pPr>
              <w:spacing w:after="0"/>
              <w:rPr>
                <w:sz w:val="20"/>
                <w:szCs w:val="20"/>
                <w:color w:val="auto"/>
              </w:rPr>
            </w:pPr>
            <w:r>
              <w:rPr>
                <w:rFonts w:ascii="Arial" w:cs="Arial" w:eastAsia="Arial" w:hAnsi="Arial"/>
                <w:sz w:val="14"/>
                <w:szCs w:val="14"/>
                <w:color w:val="0000FF"/>
              </w:rPr>
              <w:t>Certification of Principal Executive Officer pursuant to Rules 13a-14(a) and 15d-14(a) under</w:t>
            </w: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29"/>
        </w:trPr>
        <w:tc>
          <w:tcPr>
            <w:tcW w:w="1020" w:type="dxa"/>
            <w:vAlign w:val="bottom"/>
          </w:tcPr>
          <w:p>
            <w:pPr>
              <w:spacing w:after="0"/>
              <w:rPr>
                <w:sz w:val="11"/>
                <w:szCs w:val="11"/>
                <w:color w:val="auto"/>
              </w:rPr>
            </w:pPr>
          </w:p>
        </w:tc>
        <w:tc>
          <w:tcPr>
            <w:tcW w:w="5820" w:type="dxa"/>
            <w:vAlign w:val="bottom"/>
            <w:tcBorders>
              <w:top w:val="single" w:sz="8" w:color="0000FF"/>
            </w:tcBorders>
            <w:gridSpan w:val="22"/>
          </w:tcPr>
          <w:p>
            <w:pPr>
              <w:spacing w:after="0" w:line="129" w:lineRule="exact"/>
              <w:rPr>
                <w:sz w:val="20"/>
                <w:szCs w:val="20"/>
                <w:color w:val="auto"/>
              </w:rPr>
            </w:pPr>
            <w:r>
              <w:rPr>
                <w:rFonts w:ascii="Arial" w:cs="Arial" w:eastAsia="Arial" w:hAnsi="Arial"/>
                <w:sz w:val="14"/>
                <w:szCs w:val="14"/>
                <w:color w:val="0000FF"/>
              </w:rPr>
              <w:t>the Securities Exchange Act of 1934, as adopted pursuant to Section 302 of the Sarbanes-</w:t>
            </w:r>
          </w:p>
        </w:tc>
        <w:tc>
          <w:tcPr>
            <w:tcW w:w="80" w:type="dxa"/>
            <w:vAlign w:val="bottom"/>
            <w:gridSpan w:val="2"/>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15"/>
        </w:trPr>
        <w:tc>
          <w:tcPr>
            <w:tcW w:w="1020" w:type="dxa"/>
            <w:vAlign w:val="bottom"/>
          </w:tcPr>
          <w:p>
            <w:pPr>
              <w:spacing w:after="0"/>
              <w:rPr>
                <w:sz w:val="10"/>
                <w:szCs w:val="10"/>
                <w:color w:val="auto"/>
              </w:rPr>
            </w:pPr>
          </w:p>
        </w:tc>
        <w:tc>
          <w:tcPr>
            <w:tcW w:w="5780" w:type="dxa"/>
            <w:vAlign w:val="bottom"/>
            <w:tcBorders>
              <w:top w:val="single" w:sz="8" w:color="0000FF"/>
            </w:tcBorders>
            <w:gridSpan w:val="21"/>
          </w:tcPr>
          <w:p>
            <w:pPr>
              <w:spacing w:after="0" w:line="115" w:lineRule="exact"/>
              <w:rPr>
                <w:sz w:val="20"/>
                <w:szCs w:val="20"/>
                <w:color w:val="auto"/>
              </w:rPr>
            </w:pPr>
            <w:r>
              <w:rPr>
                <w:rFonts w:ascii="Arial" w:cs="Arial" w:eastAsia="Arial" w:hAnsi="Arial"/>
                <w:sz w:val="13"/>
                <w:szCs w:val="13"/>
                <w:color w:val="0000FF"/>
              </w:rPr>
              <w:t>Oxley Act of 2002.</w:t>
            </w:r>
          </w:p>
        </w:tc>
        <w:tc>
          <w:tcPr>
            <w:tcW w:w="120" w:type="dxa"/>
            <w:vAlign w:val="bottom"/>
            <w:gridSpan w:val="3"/>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1020" w:type="dxa"/>
            <w:vAlign w:val="bottom"/>
          </w:tcPr>
          <w:p>
            <w:pPr>
              <w:jc w:val="center"/>
              <w:spacing w:after="0"/>
              <w:rPr>
                <w:sz w:val="20"/>
                <w:szCs w:val="20"/>
                <w:color w:val="auto"/>
              </w:rPr>
            </w:pPr>
            <w:r>
              <w:rPr>
                <w:rFonts w:ascii="Arial" w:cs="Arial" w:eastAsia="Arial" w:hAnsi="Arial"/>
                <w:sz w:val="14"/>
                <w:szCs w:val="14"/>
                <w:color w:val="auto"/>
              </w:rPr>
              <w:t>31.2</w:t>
            </w:r>
          </w:p>
        </w:tc>
        <w:tc>
          <w:tcPr>
            <w:tcW w:w="5900" w:type="dxa"/>
            <w:vAlign w:val="bottom"/>
            <w:gridSpan w:val="24"/>
          </w:tcPr>
          <w:p>
            <w:pPr>
              <w:spacing w:after="0"/>
              <w:rPr>
                <w:sz w:val="20"/>
                <w:szCs w:val="20"/>
                <w:color w:val="auto"/>
              </w:rPr>
            </w:pPr>
            <w:r>
              <w:rPr>
                <w:rFonts w:ascii="Arial" w:cs="Arial" w:eastAsia="Arial" w:hAnsi="Arial"/>
                <w:sz w:val="14"/>
                <w:szCs w:val="14"/>
                <w:color w:val="0000FF"/>
              </w:rPr>
              <w:t>Certification of Principal Financial Officer pursuant to Rules 13a-14(a) and 15d-14(a) under</w:t>
            </w: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28"/>
        </w:trPr>
        <w:tc>
          <w:tcPr>
            <w:tcW w:w="1020" w:type="dxa"/>
            <w:vAlign w:val="bottom"/>
          </w:tcPr>
          <w:p>
            <w:pPr>
              <w:spacing w:after="0"/>
              <w:rPr>
                <w:sz w:val="11"/>
                <w:szCs w:val="11"/>
                <w:color w:val="auto"/>
              </w:rPr>
            </w:pPr>
          </w:p>
        </w:tc>
        <w:tc>
          <w:tcPr>
            <w:tcW w:w="5760" w:type="dxa"/>
            <w:vAlign w:val="bottom"/>
            <w:tcBorders>
              <w:top w:val="single" w:sz="8" w:color="0000FF"/>
            </w:tcBorders>
            <w:gridSpan w:val="20"/>
          </w:tcPr>
          <w:p>
            <w:pPr>
              <w:spacing w:after="0" w:line="129" w:lineRule="exact"/>
              <w:rPr>
                <w:sz w:val="20"/>
                <w:szCs w:val="20"/>
                <w:color w:val="auto"/>
              </w:rPr>
            </w:pPr>
            <w:r>
              <w:rPr>
                <w:rFonts w:ascii="Arial" w:cs="Arial" w:eastAsia="Arial" w:hAnsi="Arial"/>
                <w:sz w:val="14"/>
                <w:szCs w:val="14"/>
                <w:color w:val="0000FF"/>
              </w:rPr>
              <w:t>the Securities Exchange Act of 1934, as adopted pursuant to Section 302 of the Sarbanes-</w:t>
            </w:r>
          </w:p>
        </w:tc>
        <w:tc>
          <w:tcPr>
            <w:tcW w:w="140" w:type="dxa"/>
            <w:vAlign w:val="bottom"/>
            <w:gridSpan w:val="4"/>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15"/>
        </w:trPr>
        <w:tc>
          <w:tcPr>
            <w:tcW w:w="1020" w:type="dxa"/>
            <w:vAlign w:val="bottom"/>
          </w:tcPr>
          <w:p>
            <w:pPr>
              <w:spacing w:after="0"/>
              <w:rPr>
                <w:sz w:val="10"/>
                <w:szCs w:val="10"/>
                <w:color w:val="auto"/>
              </w:rPr>
            </w:pPr>
          </w:p>
        </w:tc>
        <w:tc>
          <w:tcPr>
            <w:tcW w:w="5780" w:type="dxa"/>
            <w:vAlign w:val="bottom"/>
            <w:tcBorders>
              <w:top w:val="single" w:sz="8" w:color="0000FF"/>
            </w:tcBorders>
            <w:gridSpan w:val="21"/>
          </w:tcPr>
          <w:p>
            <w:pPr>
              <w:spacing w:after="0" w:line="115" w:lineRule="exact"/>
              <w:rPr>
                <w:sz w:val="20"/>
                <w:szCs w:val="20"/>
                <w:color w:val="auto"/>
              </w:rPr>
            </w:pPr>
            <w:r>
              <w:rPr>
                <w:rFonts w:ascii="Arial" w:cs="Arial" w:eastAsia="Arial" w:hAnsi="Arial"/>
                <w:sz w:val="13"/>
                <w:szCs w:val="13"/>
                <w:color w:val="0000FF"/>
              </w:rPr>
              <w:t>Oxley Act of 2002.</w:t>
            </w:r>
          </w:p>
        </w:tc>
        <w:tc>
          <w:tcPr>
            <w:tcW w:w="120" w:type="dxa"/>
            <w:vAlign w:val="bottom"/>
            <w:gridSpan w:val="3"/>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1020" w:type="dxa"/>
            <w:vAlign w:val="bottom"/>
          </w:tcPr>
          <w:p>
            <w:pPr>
              <w:jc w:val="center"/>
              <w:spacing w:after="0"/>
              <w:rPr>
                <w:sz w:val="20"/>
                <w:szCs w:val="20"/>
                <w:color w:val="auto"/>
              </w:rPr>
            </w:pPr>
            <w:r>
              <w:rPr>
                <w:rFonts w:ascii="Arial" w:cs="Arial" w:eastAsia="Arial" w:hAnsi="Arial"/>
                <w:sz w:val="14"/>
                <w:szCs w:val="14"/>
                <w:color w:val="auto"/>
                <w:w w:val="97"/>
              </w:rPr>
              <w:t>32.1*</w:t>
            </w:r>
          </w:p>
        </w:tc>
        <w:tc>
          <w:tcPr>
            <w:tcW w:w="5900" w:type="dxa"/>
            <w:vAlign w:val="bottom"/>
            <w:gridSpan w:val="24"/>
          </w:tcPr>
          <w:p>
            <w:pPr>
              <w:spacing w:after="0"/>
              <w:rPr>
                <w:sz w:val="20"/>
                <w:szCs w:val="20"/>
                <w:color w:val="auto"/>
              </w:rPr>
            </w:pPr>
            <w:r>
              <w:rPr>
                <w:rFonts w:ascii="Arial" w:cs="Arial" w:eastAsia="Arial" w:hAnsi="Arial"/>
                <w:sz w:val="14"/>
                <w:szCs w:val="14"/>
                <w:color w:val="0000FF"/>
              </w:rPr>
              <w:t>Certification of Principal Executive Officer pursuant to 18 U.S.C. Section 1350, as adopted</w:t>
            </w: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28"/>
        </w:trPr>
        <w:tc>
          <w:tcPr>
            <w:tcW w:w="1020" w:type="dxa"/>
            <w:vAlign w:val="bottom"/>
          </w:tcPr>
          <w:p>
            <w:pPr>
              <w:spacing w:after="0"/>
              <w:rPr>
                <w:sz w:val="11"/>
                <w:szCs w:val="11"/>
                <w:color w:val="auto"/>
              </w:rPr>
            </w:pPr>
          </w:p>
        </w:tc>
        <w:tc>
          <w:tcPr>
            <w:tcW w:w="3800" w:type="dxa"/>
            <w:vAlign w:val="bottom"/>
            <w:tcBorders>
              <w:top w:val="single" w:sz="8" w:color="0000FF"/>
              <w:bottom w:val="single" w:sz="8" w:color="0000FF"/>
            </w:tcBorders>
            <w:gridSpan w:val="9"/>
          </w:tcPr>
          <w:p>
            <w:pPr>
              <w:spacing w:after="0" w:line="129" w:lineRule="exact"/>
              <w:rPr>
                <w:sz w:val="20"/>
                <w:szCs w:val="20"/>
                <w:color w:val="auto"/>
              </w:rPr>
            </w:pPr>
            <w:r>
              <w:rPr>
                <w:rFonts w:ascii="Arial" w:cs="Arial" w:eastAsia="Arial" w:hAnsi="Arial"/>
                <w:sz w:val="14"/>
                <w:szCs w:val="14"/>
                <w:color w:val="0000FF"/>
              </w:rPr>
              <w:t>pursuant to Section 906 of the Sarbanes-Oxley Act of 2002.</w:t>
            </w:r>
          </w:p>
        </w:tc>
        <w:tc>
          <w:tcPr>
            <w:tcW w:w="1920" w:type="dxa"/>
            <w:vAlign w:val="bottom"/>
            <w:tcBorders>
              <w:top w:val="single" w:sz="8" w:color="0000FF"/>
            </w:tcBorders>
            <w:gridSpan w:val="10"/>
          </w:tcPr>
          <w:p>
            <w:pPr>
              <w:spacing w:after="0"/>
              <w:rPr>
                <w:sz w:val="11"/>
                <w:szCs w:val="11"/>
                <w:color w:val="auto"/>
              </w:rPr>
            </w:pPr>
          </w:p>
        </w:tc>
        <w:tc>
          <w:tcPr>
            <w:tcW w:w="180" w:type="dxa"/>
            <w:vAlign w:val="bottom"/>
            <w:gridSpan w:val="5"/>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9"/>
        </w:trPr>
        <w:tc>
          <w:tcPr>
            <w:tcW w:w="1020" w:type="dxa"/>
            <w:vAlign w:val="bottom"/>
          </w:tcPr>
          <w:p>
            <w:pPr>
              <w:jc w:val="center"/>
              <w:spacing w:after="0"/>
              <w:rPr>
                <w:sz w:val="20"/>
                <w:szCs w:val="20"/>
                <w:color w:val="auto"/>
              </w:rPr>
            </w:pPr>
            <w:r>
              <w:rPr>
                <w:rFonts w:ascii="Arial" w:cs="Arial" w:eastAsia="Arial" w:hAnsi="Arial"/>
                <w:sz w:val="14"/>
                <w:szCs w:val="14"/>
                <w:color w:val="auto"/>
                <w:w w:val="97"/>
              </w:rPr>
              <w:t>32.2*</w:t>
            </w:r>
          </w:p>
        </w:tc>
        <w:tc>
          <w:tcPr>
            <w:tcW w:w="5900" w:type="dxa"/>
            <w:vAlign w:val="bottom"/>
            <w:gridSpan w:val="24"/>
          </w:tcPr>
          <w:p>
            <w:pPr>
              <w:spacing w:after="0"/>
              <w:rPr>
                <w:sz w:val="20"/>
                <w:szCs w:val="20"/>
                <w:color w:val="auto"/>
              </w:rPr>
            </w:pPr>
            <w:r>
              <w:rPr>
                <w:rFonts w:ascii="Arial" w:cs="Arial" w:eastAsia="Arial" w:hAnsi="Arial"/>
                <w:sz w:val="14"/>
                <w:szCs w:val="14"/>
                <w:color w:val="0000FF"/>
              </w:rPr>
              <w:t>Certification of Principal Financial Officer pursuant to 18 U.S.C. Section 1350, as adopted</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28"/>
        </w:trPr>
        <w:tc>
          <w:tcPr>
            <w:tcW w:w="1020" w:type="dxa"/>
            <w:vAlign w:val="bottom"/>
          </w:tcPr>
          <w:p>
            <w:pPr>
              <w:spacing w:after="0"/>
              <w:rPr>
                <w:sz w:val="11"/>
                <w:szCs w:val="11"/>
                <w:color w:val="auto"/>
              </w:rPr>
            </w:pPr>
          </w:p>
        </w:tc>
        <w:tc>
          <w:tcPr>
            <w:tcW w:w="5680" w:type="dxa"/>
            <w:vAlign w:val="bottom"/>
            <w:tcBorders>
              <w:top w:val="single" w:sz="8" w:color="0000FF"/>
            </w:tcBorders>
            <w:gridSpan w:val="18"/>
          </w:tcPr>
          <w:p>
            <w:pPr>
              <w:spacing w:after="0" w:line="129" w:lineRule="exact"/>
              <w:rPr>
                <w:sz w:val="20"/>
                <w:szCs w:val="20"/>
                <w:color w:val="auto"/>
              </w:rPr>
            </w:pPr>
            <w:r>
              <w:rPr>
                <w:rFonts w:ascii="Arial" w:cs="Arial" w:eastAsia="Arial" w:hAnsi="Arial"/>
                <w:sz w:val="14"/>
                <w:szCs w:val="14"/>
                <w:color w:val="0000FF"/>
              </w:rPr>
              <w:t>pursuant to Section 906 of the Sarbanes-Oxley Act of 2002.</w:t>
            </w:r>
          </w:p>
        </w:tc>
        <w:tc>
          <w:tcPr>
            <w:tcW w:w="220" w:type="dxa"/>
            <w:vAlign w:val="bottom"/>
            <w:gridSpan w:val="6"/>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9"/>
        </w:trPr>
        <w:tc>
          <w:tcPr>
            <w:tcW w:w="1020" w:type="dxa"/>
            <w:vAlign w:val="bottom"/>
          </w:tcPr>
          <w:p>
            <w:pPr>
              <w:jc w:val="center"/>
              <w:spacing w:after="0"/>
              <w:rPr>
                <w:sz w:val="20"/>
                <w:szCs w:val="20"/>
                <w:color w:val="auto"/>
              </w:rPr>
            </w:pPr>
            <w:r>
              <w:rPr>
                <w:rFonts w:ascii="Arial" w:cs="Arial" w:eastAsia="Arial" w:hAnsi="Arial"/>
                <w:sz w:val="14"/>
                <w:szCs w:val="14"/>
                <w:color w:val="auto"/>
              </w:rPr>
              <w:t>97.1</w:t>
            </w:r>
          </w:p>
        </w:tc>
        <w:tc>
          <w:tcPr>
            <w:tcW w:w="3780" w:type="dxa"/>
            <w:vAlign w:val="bottom"/>
            <w:tcBorders>
              <w:top w:val="single" w:sz="8" w:color="0000FF"/>
            </w:tcBorders>
            <w:gridSpan w:val="8"/>
          </w:tcPr>
          <w:p>
            <w:pPr>
              <w:spacing w:after="0"/>
              <w:rPr>
                <w:sz w:val="20"/>
                <w:szCs w:val="20"/>
                <w:color w:val="auto"/>
              </w:rPr>
            </w:pPr>
            <w:r>
              <w:rPr>
                <w:rFonts w:ascii="Arial" w:cs="Arial" w:eastAsia="Arial" w:hAnsi="Arial"/>
                <w:sz w:val="14"/>
                <w:szCs w:val="14"/>
                <w:color w:val="0000FF"/>
              </w:rPr>
              <w:t>Insider Trading Compliance Policy and Procedures</w:t>
            </w:r>
          </w:p>
        </w:tc>
        <w:tc>
          <w:tcPr>
            <w:tcW w:w="2120" w:type="dxa"/>
            <w:vAlign w:val="bottom"/>
            <w:gridSpan w:val="16"/>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0"/>
        </w:trPr>
        <w:tc>
          <w:tcPr>
            <w:tcW w:w="1020" w:type="dxa"/>
            <w:vAlign w:val="bottom"/>
          </w:tcPr>
          <w:p>
            <w:pPr>
              <w:spacing w:after="0" w:line="20" w:lineRule="exact"/>
              <w:rPr>
                <w:sz w:val="1"/>
                <w:szCs w:val="1"/>
                <w:color w:val="auto"/>
              </w:rPr>
            </w:pPr>
          </w:p>
        </w:tc>
        <w:tc>
          <w:tcPr>
            <w:tcW w:w="3220" w:type="dxa"/>
            <w:vAlign w:val="bottom"/>
            <w:gridSpan w:val="7"/>
            <w:shd w:val="clear" w:color="auto" w:fill="0000FF"/>
          </w:tcPr>
          <w:p>
            <w:pPr>
              <w:spacing w:after="0" w:line="20" w:lineRule="exact"/>
              <w:rPr>
                <w:sz w:val="1"/>
                <w:szCs w:val="1"/>
                <w:color w:val="auto"/>
              </w:rPr>
            </w:pPr>
          </w:p>
        </w:tc>
        <w:tc>
          <w:tcPr>
            <w:tcW w:w="2680" w:type="dxa"/>
            <w:vAlign w:val="bottom"/>
            <w:gridSpan w:val="1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3"/>
        </w:trPr>
        <w:tc>
          <w:tcPr>
            <w:tcW w:w="1020" w:type="dxa"/>
            <w:vAlign w:val="bottom"/>
          </w:tcPr>
          <w:p>
            <w:pPr>
              <w:jc w:val="center"/>
              <w:spacing w:after="0"/>
              <w:rPr>
                <w:sz w:val="20"/>
                <w:szCs w:val="20"/>
                <w:color w:val="auto"/>
              </w:rPr>
            </w:pPr>
            <w:r>
              <w:rPr>
                <w:rFonts w:ascii="Arial" w:cs="Arial" w:eastAsia="Arial" w:hAnsi="Arial"/>
                <w:sz w:val="14"/>
                <w:szCs w:val="14"/>
                <w:color w:val="auto"/>
              </w:rPr>
              <w:t>101.INS</w:t>
            </w:r>
          </w:p>
        </w:tc>
        <w:tc>
          <w:tcPr>
            <w:tcW w:w="5900" w:type="dxa"/>
            <w:vAlign w:val="bottom"/>
            <w:gridSpan w:val="24"/>
          </w:tcPr>
          <w:p>
            <w:pPr>
              <w:spacing w:after="0"/>
              <w:rPr>
                <w:sz w:val="20"/>
                <w:szCs w:val="20"/>
                <w:color w:val="auto"/>
              </w:rPr>
            </w:pPr>
            <w:r>
              <w:rPr>
                <w:rFonts w:ascii="Arial" w:cs="Arial" w:eastAsia="Arial" w:hAnsi="Arial"/>
                <w:sz w:val="14"/>
                <w:szCs w:val="14"/>
                <w:color w:val="auto"/>
              </w:rPr>
              <w:t>XBRL Instance Document - the instance document does not appear in the Interactive Data</w:t>
            </w: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89"/>
        </w:trPr>
        <w:tc>
          <w:tcPr>
            <w:tcW w:w="1020" w:type="dxa"/>
            <w:vAlign w:val="bottom"/>
          </w:tcPr>
          <w:p>
            <w:pPr>
              <w:spacing w:after="0"/>
              <w:rPr>
                <w:sz w:val="16"/>
                <w:szCs w:val="16"/>
                <w:color w:val="auto"/>
              </w:rPr>
            </w:pPr>
          </w:p>
        </w:tc>
        <w:tc>
          <w:tcPr>
            <w:tcW w:w="5900" w:type="dxa"/>
            <w:vAlign w:val="bottom"/>
            <w:gridSpan w:val="24"/>
          </w:tcPr>
          <w:p>
            <w:pPr>
              <w:spacing w:after="0"/>
              <w:rPr>
                <w:sz w:val="20"/>
                <w:szCs w:val="20"/>
                <w:color w:val="auto"/>
              </w:rPr>
            </w:pPr>
            <w:r>
              <w:rPr>
                <w:rFonts w:ascii="Arial" w:cs="Arial" w:eastAsia="Arial" w:hAnsi="Arial"/>
                <w:sz w:val="14"/>
                <w:szCs w:val="14"/>
                <w:color w:val="auto"/>
              </w:rPr>
              <w:t>File because its XBRL tags are embedded within the Inline XBRL document.</w:t>
            </w: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1020" w:type="dxa"/>
            <w:vAlign w:val="bottom"/>
          </w:tcPr>
          <w:p>
            <w:pPr>
              <w:jc w:val="center"/>
              <w:spacing w:after="0"/>
              <w:rPr>
                <w:sz w:val="20"/>
                <w:szCs w:val="20"/>
                <w:color w:val="auto"/>
              </w:rPr>
            </w:pPr>
            <w:r>
              <w:rPr>
                <w:rFonts w:ascii="Arial" w:cs="Arial" w:eastAsia="Arial" w:hAnsi="Arial"/>
                <w:sz w:val="14"/>
                <w:szCs w:val="14"/>
                <w:color w:val="auto"/>
              </w:rPr>
              <w:t>101.SCH</w:t>
            </w:r>
          </w:p>
        </w:tc>
        <w:tc>
          <w:tcPr>
            <w:tcW w:w="5900" w:type="dxa"/>
            <w:vAlign w:val="bottom"/>
            <w:gridSpan w:val="24"/>
          </w:tcPr>
          <w:p>
            <w:pPr>
              <w:spacing w:after="0"/>
              <w:rPr>
                <w:sz w:val="20"/>
                <w:szCs w:val="20"/>
                <w:color w:val="auto"/>
              </w:rPr>
            </w:pPr>
            <w:r>
              <w:rPr>
                <w:rFonts w:ascii="Arial" w:cs="Arial" w:eastAsia="Arial" w:hAnsi="Arial"/>
                <w:sz w:val="14"/>
                <w:szCs w:val="14"/>
                <w:color w:val="auto"/>
              </w:rPr>
              <w:t>XBRL Taxonomy Extension Schema Document.</w:t>
            </w: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03"/>
        </w:trPr>
        <w:tc>
          <w:tcPr>
            <w:tcW w:w="1020" w:type="dxa"/>
            <w:vAlign w:val="bottom"/>
          </w:tcPr>
          <w:p>
            <w:pPr>
              <w:jc w:val="center"/>
              <w:spacing w:after="0"/>
              <w:rPr>
                <w:sz w:val="20"/>
                <w:szCs w:val="20"/>
                <w:color w:val="auto"/>
              </w:rPr>
            </w:pPr>
            <w:r>
              <w:rPr>
                <w:rFonts w:ascii="Arial" w:cs="Arial" w:eastAsia="Arial" w:hAnsi="Arial"/>
                <w:sz w:val="14"/>
                <w:szCs w:val="14"/>
                <w:color w:val="auto"/>
              </w:rPr>
              <w:t>101.CAL</w:t>
            </w:r>
          </w:p>
        </w:tc>
        <w:tc>
          <w:tcPr>
            <w:tcW w:w="5900" w:type="dxa"/>
            <w:vAlign w:val="bottom"/>
            <w:gridSpan w:val="24"/>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03"/>
        </w:trPr>
        <w:tc>
          <w:tcPr>
            <w:tcW w:w="1020" w:type="dxa"/>
            <w:vAlign w:val="bottom"/>
          </w:tcPr>
          <w:p>
            <w:pPr>
              <w:jc w:val="center"/>
              <w:spacing w:after="0"/>
              <w:rPr>
                <w:sz w:val="20"/>
                <w:szCs w:val="20"/>
                <w:color w:val="auto"/>
              </w:rPr>
            </w:pPr>
            <w:r>
              <w:rPr>
                <w:rFonts w:ascii="Arial" w:cs="Arial" w:eastAsia="Arial" w:hAnsi="Arial"/>
                <w:sz w:val="14"/>
                <w:szCs w:val="14"/>
                <w:color w:val="auto"/>
              </w:rPr>
              <w:t>101.DEF</w:t>
            </w:r>
          </w:p>
        </w:tc>
        <w:tc>
          <w:tcPr>
            <w:tcW w:w="5900" w:type="dxa"/>
            <w:vAlign w:val="bottom"/>
            <w:gridSpan w:val="24"/>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03"/>
        </w:trPr>
        <w:tc>
          <w:tcPr>
            <w:tcW w:w="1020" w:type="dxa"/>
            <w:vAlign w:val="bottom"/>
          </w:tcPr>
          <w:p>
            <w:pPr>
              <w:jc w:val="center"/>
              <w:spacing w:after="0"/>
              <w:rPr>
                <w:sz w:val="20"/>
                <w:szCs w:val="20"/>
                <w:color w:val="auto"/>
              </w:rPr>
            </w:pPr>
            <w:r>
              <w:rPr>
                <w:rFonts w:ascii="Arial" w:cs="Arial" w:eastAsia="Arial" w:hAnsi="Arial"/>
                <w:sz w:val="14"/>
                <w:szCs w:val="14"/>
                <w:color w:val="auto"/>
              </w:rPr>
              <w:t>101.LAB</w:t>
            </w:r>
          </w:p>
        </w:tc>
        <w:tc>
          <w:tcPr>
            <w:tcW w:w="5900" w:type="dxa"/>
            <w:vAlign w:val="bottom"/>
            <w:gridSpan w:val="24"/>
          </w:tcPr>
          <w:p>
            <w:pPr>
              <w:spacing w:after="0"/>
              <w:rPr>
                <w:sz w:val="20"/>
                <w:szCs w:val="20"/>
                <w:color w:val="auto"/>
              </w:rPr>
            </w:pPr>
            <w:r>
              <w:rPr>
                <w:rFonts w:ascii="Arial" w:cs="Arial" w:eastAsia="Arial" w:hAnsi="Arial"/>
                <w:sz w:val="14"/>
                <w:szCs w:val="14"/>
                <w:color w:val="auto"/>
              </w:rPr>
              <w:t>XBRL Taxonomy Extension Label Linkbase Document.</w:t>
            </w: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03"/>
        </w:trPr>
        <w:tc>
          <w:tcPr>
            <w:tcW w:w="1020" w:type="dxa"/>
            <w:vAlign w:val="bottom"/>
          </w:tcPr>
          <w:p>
            <w:pPr>
              <w:jc w:val="center"/>
              <w:spacing w:after="0"/>
              <w:rPr>
                <w:sz w:val="20"/>
                <w:szCs w:val="20"/>
                <w:color w:val="auto"/>
              </w:rPr>
            </w:pPr>
            <w:r>
              <w:rPr>
                <w:rFonts w:ascii="Arial" w:cs="Arial" w:eastAsia="Arial" w:hAnsi="Arial"/>
                <w:sz w:val="14"/>
                <w:szCs w:val="14"/>
                <w:color w:val="auto"/>
                <w:w w:val="99"/>
              </w:rPr>
              <w:t>101.PRE</w:t>
            </w:r>
          </w:p>
        </w:tc>
        <w:tc>
          <w:tcPr>
            <w:tcW w:w="5900" w:type="dxa"/>
            <w:vAlign w:val="bottom"/>
            <w:gridSpan w:val="24"/>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03"/>
        </w:trPr>
        <w:tc>
          <w:tcPr>
            <w:tcW w:w="1020" w:type="dxa"/>
            <w:vAlign w:val="bottom"/>
          </w:tcPr>
          <w:p>
            <w:pPr>
              <w:jc w:val="center"/>
              <w:spacing w:after="0"/>
              <w:rPr>
                <w:sz w:val="20"/>
                <w:szCs w:val="20"/>
                <w:color w:val="auto"/>
              </w:rPr>
            </w:pPr>
            <w:r>
              <w:rPr>
                <w:rFonts w:ascii="Arial" w:cs="Arial" w:eastAsia="Arial" w:hAnsi="Arial"/>
                <w:sz w:val="14"/>
                <w:szCs w:val="14"/>
                <w:color w:val="auto"/>
              </w:rPr>
              <w:t>104</w:t>
            </w:r>
          </w:p>
        </w:tc>
        <w:tc>
          <w:tcPr>
            <w:tcW w:w="5900" w:type="dxa"/>
            <w:vAlign w:val="bottom"/>
            <w:gridSpan w:val="24"/>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Exhibits 101).</w:t>
            </w: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bl>
    <w:p>
      <w:pPr>
        <w:spacing w:after="0" w:line="80" w:lineRule="exact"/>
        <w:rPr>
          <w:sz w:val="20"/>
          <w:szCs w:val="20"/>
          <w:color w:val="auto"/>
        </w:rPr>
      </w:pPr>
    </w:p>
    <w:p>
      <w:pPr>
        <w:ind w:left="660" w:hanging="328"/>
        <w:spacing w:after="0" w:line="241" w:lineRule="auto"/>
        <w:tabs>
          <w:tab w:leader="none" w:pos="659"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certifications attached as Exhibits 32.1 and 32.2 that accompany this Annual Report on Form 10-K, are deemed furnished and not filed with the Securities and Exchange Commission and are not to be incorporated by reference into any filing of Arteris, Inc. under the Securities</w:t>
      </w:r>
    </w:p>
    <w:p>
      <w:pPr>
        <w:spacing w:after="0" w:line="1" w:lineRule="exact"/>
        <w:rPr>
          <w:sz w:val="20"/>
          <w:szCs w:val="20"/>
          <w:color w:val="auto"/>
        </w:rPr>
      </w:pPr>
    </w:p>
    <w:p>
      <w:pPr>
        <w:ind w:left="660" w:right="540"/>
        <w:spacing w:after="0" w:line="232" w:lineRule="auto"/>
        <w:rPr>
          <w:sz w:val="20"/>
          <w:szCs w:val="20"/>
          <w:color w:val="auto"/>
        </w:rPr>
      </w:pPr>
      <w:r>
        <w:rPr>
          <w:rFonts w:ascii="Arial" w:cs="Arial" w:eastAsia="Arial" w:hAnsi="Arial"/>
          <w:sz w:val="17"/>
          <w:szCs w:val="17"/>
          <w:color w:val="auto"/>
        </w:rPr>
        <w:t>Act of 1933, as amended, or the Securities Exchange Act of 1934, as amended, whether made before or after the date of this Annual Report on Form 10-K, irrespective of any general incorporation language contained in such filing.</w:t>
      </w:r>
    </w:p>
    <w:p>
      <w:pPr>
        <w:ind w:left="620" w:hanging="288"/>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w:t>
      </w:r>
    </w:p>
    <w:p>
      <w:pPr>
        <w:spacing w:after="0" w:line="13" w:lineRule="exact"/>
        <w:rPr>
          <w:sz w:val="20"/>
          <w:szCs w:val="20"/>
          <w:color w:val="auto"/>
        </w:rPr>
      </w:pPr>
    </w:p>
    <w:p>
      <w:pPr>
        <w:jc w:val="both"/>
        <w:ind w:left="660" w:right="80" w:hanging="328"/>
        <w:spacing w:after="0" w:line="261" w:lineRule="auto"/>
        <w:tabs>
          <w:tab w:leader="none" w:pos="6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Portions of this exhibit (indicated by asterisks) have been omitted pursuant to Item 601(b)(10)(iv) of Regulation S-K under the Securities Act of 1933, as amended, because they are both (i) not material and (ii) the type of information that the registrant both customarily and actually treats as private and confidential.</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Pursuant to the requirements of the Securities Act of 1933, as amended, Arteris, Inc. has duly caused this report to be signed on its behalf by the undersigned, thereunto duly authorized, in Campbell, California, on this 18th day of February, 2025.</w:t>
      </w:r>
    </w:p>
    <w:p>
      <w:pPr>
        <w:spacing w:after="0" w:line="145" w:lineRule="exact"/>
        <w:rPr>
          <w:sz w:val="20"/>
          <w:szCs w:val="20"/>
          <w:color w:val="auto"/>
        </w:rPr>
      </w:pPr>
    </w:p>
    <w:tbl>
      <w:tblPr>
        <w:tblLayout w:type="fixed"/>
        <w:tblInd w:w="59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Arial" w:cs="Arial" w:eastAsia="Arial" w:hAnsi="Arial"/>
                <w:sz w:val="17"/>
                <w:szCs w:val="17"/>
                <w:b w:val="1"/>
                <w:bCs w:val="1"/>
                <w:color w:val="auto"/>
              </w:rPr>
              <w:t>Arteris, Inc.</w:t>
            </w: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020" w:type="dxa"/>
            <w:vAlign w:val="bottom"/>
          </w:tcPr>
          <w:p>
            <w:pPr>
              <w:spacing w:after="0"/>
              <w:rPr>
                <w:sz w:val="20"/>
                <w:szCs w:val="20"/>
                <w:color w:val="auto"/>
              </w:rPr>
            </w:pPr>
            <w:r>
              <w:rPr>
                <w:rFonts w:ascii="Arial" w:cs="Arial" w:eastAsia="Arial" w:hAnsi="Arial"/>
                <w:sz w:val="17"/>
                <w:szCs w:val="17"/>
                <w:color w:val="auto"/>
              </w:rPr>
              <w:t>By:</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K. Charles Janac</w:t>
            </w: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7"/>
                <w:szCs w:val="17"/>
                <w:color w:val="auto"/>
              </w:rPr>
              <w:t>Name:</w:t>
            </w:r>
          </w:p>
        </w:tc>
        <w:tc>
          <w:tcPr>
            <w:tcW w:w="4300" w:type="dxa"/>
            <w:vAlign w:val="bottom"/>
          </w:tcPr>
          <w:p>
            <w:pPr>
              <w:ind w:left="20"/>
              <w:spacing w:after="0" w:line="176" w:lineRule="exact"/>
              <w:rPr>
                <w:sz w:val="20"/>
                <w:szCs w:val="20"/>
                <w:color w:val="auto"/>
              </w:rPr>
            </w:pPr>
            <w:r>
              <w:rPr>
                <w:rFonts w:ascii="Arial" w:cs="Arial" w:eastAsia="Arial" w:hAnsi="Arial"/>
                <w:sz w:val="17"/>
                <w:szCs w:val="17"/>
                <w:color w:val="auto"/>
              </w:rPr>
              <w:t>K. Charles Janac</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7"/>
                <w:szCs w:val="17"/>
                <w:color w:val="auto"/>
              </w:rPr>
              <w:t>Title:</w:t>
            </w:r>
          </w:p>
        </w:tc>
        <w:tc>
          <w:tcPr>
            <w:tcW w:w="4300" w:type="dxa"/>
            <w:vAlign w:val="bottom"/>
            <w:vMerge w:val="restart"/>
          </w:tcPr>
          <w:p>
            <w:pPr>
              <w:ind w:left="20"/>
              <w:spacing w:after="0"/>
              <w:rPr>
                <w:sz w:val="20"/>
                <w:szCs w:val="20"/>
                <w:color w:val="auto"/>
              </w:rPr>
            </w:pPr>
            <w:r>
              <w:rPr>
                <w:rFonts w:ascii="Arial" w:cs="Arial" w:eastAsia="Arial" w:hAnsi="Arial"/>
                <w:sz w:val="17"/>
                <w:szCs w:val="17"/>
                <w:color w:val="auto"/>
              </w:rPr>
              <w:t>President and Chief Executive Officer</w:t>
            </w: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4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4300" w:type="dxa"/>
            <w:vAlign w:val="bottom"/>
          </w:tcPr>
          <w:p>
            <w:pPr>
              <w:ind w:left="20"/>
              <w:spacing w:after="0"/>
              <w:rPr>
                <w:sz w:val="20"/>
                <w:szCs w:val="20"/>
                <w:color w:val="auto"/>
              </w:rPr>
            </w:pPr>
            <w:r>
              <w:rPr>
                <w:rFonts w:ascii="Arial" w:cs="Arial" w:eastAsia="Arial" w:hAnsi="Arial"/>
                <w:sz w:val="17"/>
                <w:szCs w:val="17"/>
                <w:i w:val="1"/>
                <w:iCs w:val="1"/>
                <w:color w:val="auto"/>
              </w:rPr>
              <w:t>(Principal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Each of the undersigned officers and directors of Arteris, Inc. hereby constitutes and appoints K. Charles Janac and Nicholas B. Hawkins, and each of them any of whom may act without joinder of the other, the individual’s true and lawful attorneys-in-fact and agents, each with full power of substitution and resubstitution, for the person and in his or her name, place and stead, in any and all capacities, to sign this Annual Report on Form 10-K,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Pursuant to the requirements of the Securities Act of 1933, as amended, this Annual Report on Form 10-K has been signed by the following persons in the capacities set forth opposite their names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572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TITLE</w:t>
            </w:r>
          </w:p>
        </w:tc>
        <w:tc>
          <w:tcPr>
            <w:tcW w:w="22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278"/>
        </w:trPr>
        <w:tc>
          <w:tcPr>
            <w:tcW w:w="3180" w:type="dxa"/>
            <w:vAlign w:val="bottom"/>
          </w:tcPr>
          <w:p>
            <w:pPr>
              <w:jc w:val="center"/>
              <w:spacing w:after="0"/>
              <w:rPr>
                <w:sz w:val="20"/>
                <w:szCs w:val="20"/>
                <w:color w:val="auto"/>
              </w:rPr>
            </w:pPr>
            <w:r>
              <w:rPr>
                <w:rFonts w:ascii="Arial" w:cs="Arial" w:eastAsia="Arial" w:hAnsi="Arial"/>
                <w:sz w:val="17"/>
                <w:szCs w:val="17"/>
                <w:color w:val="auto"/>
              </w:rPr>
              <w:t>/s/ K. Charles Janac</w:t>
            </w:r>
          </w:p>
        </w:tc>
        <w:tc>
          <w:tcPr>
            <w:tcW w:w="5720" w:type="dxa"/>
            <w:vAlign w:val="bottom"/>
          </w:tcPr>
          <w:p>
            <w:pPr>
              <w:ind w:left="20"/>
              <w:spacing w:after="0"/>
              <w:rPr>
                <w:sz w:val="20"/>
                <w:szCs w:val="20"/>
                <w:color w:val="auto"/>
              </w:rPr>
            </w:pPr>
            <w:r>
              <w:rPr>
                <w:rFonts w:ascii="Arial" w:cs="Arial" w:eastAsia="Arial" w:hAnsi="Arial"/>
                <w:sz w:val="17"/>
                <w:szCs w:val="17"/>
                <w:color w:val="auto"/>
              </w:rPr>
              <w:t xml:space="preserve">President and Chief Executive Officer </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 xml:space="preserve"> and</w:t>
            </w:r>
          </w:p>
        </w:tc>
        <w:tc>
          <w:tcPr>
            <w:tcW w:w="2200" w:type="dxa"/>
            <w:vAlign w:val="bottom"/>
          </w:tcPr>
          <w:p>
            <w:pPr>
              <w:jc w:val="center"/>
              <w:spacing w:after="0"/>
              <w:rPr>
                <w:sz w:val="20"/>
                <w:szCs w:val="20"/>
                <w:color w:val="auto"/>
              </w:rPr>
            </w:pPr>
            <w:r>
              <w:rPr>
                <w:rFonts w:ascii="Arial" w:cs="Arial" w:eastAsia="Arial" w:hAnsi="Arial"/>
                <w:sz w:val="17"/>
                <w:szCs w:val="17"/>
                <w:color w:val="auto"/>
              </w:rPr>
              <w:t>February 18, 2025</w:t>
            </w:r>
          </w:p>
        </w:tc>
        <w:tc>
          <w:tcPr>
            <w:tcW w:w="0" w:type="dxa"/>
            <w:vAlign w:val="bottom"/>
          </w:tcPr>
          <w:p>
            <w:pPr>
              <w:spacing w:after="0"/>
              <w:rPr>
                <w:sz w:val="1"/>
                <w:szCs w:val="1"/>
                <w:color w:val="auto"/>
              </w:rPr>
            </w:pPr>
          </w:p>
        </w:tc>
      </w:tr>
      <w:tr>
        <w:trPr>
          <w:trHeight w:val="68"/>
        </w:trPr>
        <w:tc>
          <w:tcPr>
            <w:tcW w:w="3180" w:type="dxa"/>
            <w:vAlign w:val="bottom"/>
            <w:tcBorders>
              <w:bottom w:val="single" w:sz="8" w:color="auto"/>
            </w:tcBorders>
          </w:tcPr>
          <w:p>
            <w:pPr>
              <w:spacing w:after="0"/>
              <w:rPr>
                <w:sz w:val="5"/>
                <w:szCs w:val="5"/>
                <w:color w:val="auto"/>
              </w:rPr>
            </w:pPr>
          </w:p>
        </w:tc>
        <w:tc>
          <w:tcPr>
            <w:tcW w:w="5720" w:type="dxa"/>
            <w:vAlign w:val="bottom"/>
            <w:vMerge w:val="restart"/>
          </w:tcPr>
          <w:p>
            <w:pPr>
              <w:ind w:left="20"/>
              <w:spacing w:after="0"/>
              <w:rPr>
                <w:sz w:val="20"/>
                <w:szCs w:val="20"/>
                <w:color w:val="auto"/>
              </w:rPr>
            </w:pPr>
            <w:r>
              <w:rPr>
                <w:rFonts w:ascii="Arial" w:cs="Arial" w:eastAsia="Arial" w:hAnsi="Arial"/>
                <w:sz w:val="17"/>
                <w:szCs w:val="17"/>
                <w:color w:val="auto"/>
              </w:rPr>
              <w:t>Chairman of the Board of Directors</w:t>
            </w:r>
          </w:p>
        </w:tc>
        <w:tc>
          <w:tcPr>
            <w:tcW w:w="2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3180" w:type="dxa"/>
            <w:vAlign w:val="bottom"/>
            <w:vMerge w:val="restart"/>
          </w:tcPr>
          <w:p>
            <w:pPr>
              <w:jc w:val="center"/>
              <w:spacing w:after="0"/>
              <w:rPr>
                <w:sz w:val="20"/>
                <w:szCs w:val="20"/>
                <w:color w:val="auto"/>
              </w:rPr>
            </w:pPr>
            <w:r>
              <w:rPr>
                <w:rFonts w:ascii="Arial" w:cs="Arial" w:eastAsia="Arial" w:hAnsi="Arial"/>
                <w:sz w:val="17"/>
                <w:szCs w:val="17"/>
                <w:color w:val="auto"/>
              </w:rPr>
              <w:t>K. Charles Janac</w:t>
            </w:r>
          </w:p>
        </w:tc>
        <w:tc>
          <w:tcPr>
            <w:tcW w:w="572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180" w:type="dxa"/>
            <w:vAlign w:val="bottom"/>
            <w:vMerge w:val="continue"/>
          </w:tcPr>
          <w:p>
            <w:pPr>
              <w:spacing w:after="0"/>
              <w:rPr>
                <w:sz w:val="7"/>
                <w:szCs w:val="7"/>
                <w:color w:val="auto"/>
              </w:rPr>
            </w:pPr>
          </w:p>
        </w:tc>
        <w:tc>
          <w:tcPr>
            <w:tcW w:w="57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5"/>
        </w:trPr>
        <w:tc>
          <w:tcPr>
            <w:tcW w:w="3180" w:type="dxa"/>
            <w:vAlign w:val="bottom"/>
          </w:tcPr>
          <w:p>
            <w:pPr>
              <w:jc w:val="center"/>
              <w:spacing w:after="0"/>
              <w:rPr>
                <w:sz w:val="20"/>
                <w:szCs w:val="20"/>
                <w:color w:val="auto"/>
              </w:rPr>
            </w:pPr>
            <w:r>
              <w:rPr>
                <w:rFonts w:ascii="Arial" w:cs="Arial" w:eastAsia="Arial" w:hAnsi="Arial"/>
                <w:sz w:val="17"/>
                <w:szCs w:val="17"/>
                <w:color w:val="auto"/>
              </w:rPr>
              <w:t>/s/ Nicholas B. Hawkins</w:t>
            </w:r>
          </w:p>
        </w:tc>
        <w:tc>
          <w:tcPr>
            <w:tcW w:w="5720" w:type="dxa"/>
            <w:vAlign w:val="bottom"/>
          </w:tcPr>
          <w:p>
            <w:pPr>
              <w:ind w:left="20"/>
              <w:spacing w:after="0"/>
              <w:rPr>
                <w:sz w:val="20"/>
                <w:szCs w:val="20"/>
                <w:color w:val="auto"/>
              </w:rPr>
            </w:pPr>
            <w:r>
              <w:rPr>
                <w:rFonts w:ascii="Arial" w:cs="Arial" w:eastAsia="Arial" w:hAnsi="Arial"/>
                <w:sz w:val="17"/>
                <w:szCs w:val="17"/>
                <w:color w:val="auto"/>
              </w:rPr>
              <w:t>Vice President and Chief Financial Officer</w:t>
            </w:r>
          </w:p>
        </w:tc>
        <w:tc>
          <w:tcPr>
            <w:tcW w:w="2200" w:type="dxa"/>
            <w:vAlign w:val="bottom"/>
          </w:tcPr>
          <w:p>
            <w:pPr>
              <w:jc w:val="center"/>
              <w:spacing w:after="0"/>
              <w:rPr>
                <w:sz w:val="20"/>
                <w:szCs w:val="20"/>
                <w:color w:val="auto"/>
              </w:rPr>
            </w:pPr>
            <w:r>
              <w:rPr>
                <w:rFonts w:ascii="Arial" w:cs="Arial" w:eastAsia="Arial" w:hAnsi="Arial"/>
                <w:sz w:val="17"/>
                <w:szCs w:val="17"/>
                <w:color w:val="auto"/>
              </w:rPr>
              <w:t>February 18, 2025</w:t>
            </w:r>
          </w:p>
        </w:tc>
        <w:tc>
          <w:tcPr>
            <w:tcW w:w="0" w:type="dxa"/>
            <w:vAlign w:val="bottom"/>
          </w:tcPr>
          <w:p>
            <w:pPr>
              <w:spacing w:after="0"/>
              <w:rPr>
                <w:sz w:val="1"/>
                <w:szCs w:val="1"/>
                <w:color w:val="auto"/>
              </w:rPr>
            </w:pPr>
          </w:p>
        </w:tc>
      </w:tr>
      <w:tr>
        <w:trPr>
          <w:trHeight w:val="68"/>
        </w:trPr>
        <w:tc>
          <w:tcPr>
            <w:tcW w:w="3180" w:type="dxa"/>
            <w:vAlign w:val="bottom"/>
            <w:tcBorders>
              <w:bottom w:val="single" w:sz="8" w:color="auto"/>
            </w:tcBorders>
          </w:tcPr>
          <w:p>
            <w:pPr>
              <w:spacing w:after="0"/>
              <w:rPr>
                <w:sz w:val="5"/>
                <w:szCs w:val="5"/>
                <w:color w:val="auto"/>
              </w:rPr>
            </w:pPr>
          </w:p>
        </w:tc>
        <w:tc>
          <w:tcPr>
            <w:tcW w:w="572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(Principal Financial and Accounting Officer)</w:t>
            </w:r>
          </w:p>
        </w:tc>
        <w:tc>
          <w:tcPr>
            <w:tcW w:w="2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180" w:type="dxa"/>
            <w:vAlign w:val="bottom"/>
            <w:vMerge w:val="restart"/>
          </w:tcPr>
          <w:p>
            <w:pPr>
              <w:jc w:val="center"/>
              <w:spacing w:after="0"/>
              <w:rPr>
                <w:sz w:val="20"/>
                <w:szCs w:val="20"/>
                <w:color w:val="auto"/>
              </w:rPr>
            </w:pPr>
            <w:r>
              <w:rPr>
                <w:rFonts w:ascii="Arial" w:cs="Arial" w:eastAsia="Arial" w:hAnsi="Arial"/>
                <w:sz w:val="17"/>
                <w:szCs w:val="17"/>
                <w:color w:val="auto"/>
              </w:rPr>
              <w:t>Nicholas B. Hawkins</w:t>
            </w:r>
          </w:p>
        </w:tc>
        <w:tc>
          <w:tcPr>
            <w:tcW w:w="572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180" w:type="dxa"/>
            <w:vAlign w:val="bottom"/>
            <w:vMerge w:val="continue"/>
          </w:tcPr>
          <w:p>
            <w:pPr>
              <w:spacing w:after="0"/>
              <w:rPr>
                <w:sz w:val="7"/>
                <w:szCs w:val="7"/>
                <w:color w:val="auto"/>
              </w:rPr>
            </w:pPr>
          </w:p>
        </w:tc>
        <w:tc>
          <w:tcPr>
            <w:tcW w:w="57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Wayne C. Cantwell</w:t>
            </w:r>
          </w:p>
        </w:tc>
        <w:tc>
          <w:tcPr>
            <w:tcW w:w="5720" w:type="dxa"/>
            <w:vAlign w:val="bottom"/>
          </w:tcPr>
          <w:p>
            <w:pPr>
              <w:ind w:left="20"/>
              <w:spacing w:after="0"/>
              <w:rPr>
                <w:sz w:val="20"/>
                <w:szCs w:val="20"/>
                <w:color w:val="auto"/>
              </w:rPr>
            </w:pPr>
            <w:r>
              <w:rPr>
                <w:rFonts w:ascii="Arial" w:cs="Arial" w:eastAsia="Arial" w:hAnsi="Arial"/>
                <w:sz w:val="17"/>
                <w:szCs w:val="17"/>
                <w:color w:val="auto"/>
              </w:rPr>
              <w:t>Director</w:t>
            </w:r>
          </w:p>
        </w:tc>
        <w:tc>
          <w:tcPr>
            <w:tcW w:w="2200" w:type="dxa"/>
            <w:vAlign w:val="bottom"/>
          </w:tcPr>
          <w:p>
            <w:pPr>
              <w:jc w:val="center"/>
              <w:spacing w:after="0"/>
              <w:rPr>
                <w:sz w:val="20"/>
                <w:szCs w:val="20"/>
                <w:color w:val="auto"/>
              </w:rPr>
            </w:pPr>
            <w:r>
              <w:rPr>
                <w:rFonts w:ascii="Arial" w:cs="Arial" w:eastAsia="Arial" w:hAnsi="Arial"/>
                <w:sz w:val="17"/>
                <w:szCs w:val="17"/>
                <w:color w:val="auto"/>
              </w:rPr>
              <w:t>February 18, 2025</w:t>
            </w:r>
          </w:p>
        </w:tc>
        <w:tc>
          <w:tcPr>
            <w:tcW w:w="0" w:type="dxa"/>
            <w:vAlign w:val="bottom"/>
          </w:tcPr>
          <w:p>
            <w:pPr>
              <w:spacing w:after="0"/>
              <w:rPr>
                <w:sz w:val="1"/>
                <w:szCs w:val="1"/>
                <w:color w:val="auto"/>
              </w:rPr>
            </w:pPr>
          </w:p>
        </w:tc>
      </w:tr>
      <w:tr>
        <w:trPr>
          <w:trHeight w:val="221"/>
        </w:trPr>
        <w:tc>
          <w:tcPr>
            <w:tcW w:w="3180" w:type="dxa"/>
            <w:vAlign w:val="bottom"/>
          </w:tcPr>
          <w:p>
            <w:pPr>
              <w:jc w:val="center"/>
              <w:spacing w:after="0"/>
              <w:rPr>
                <w:sz w:val="20"/>
                <w:szCs w:val="20"/>
                <w:color w:val="auto"/>
              </w:rPr>
            </w:pPr>
            <w:r>
              <w:rPr>
                <w:rFonts w:ascii="Arial" w:cs="Arial" w:eastAsia="Arial" w:hAnsi="Arial"/>
                <w:sz w:val="17"/>
                <w:szCs w:val="17"/>
                <w:color w:val="auto"/>
                <w:w w:val="99"/>
              </w:rPr>
              <w:t>Wayne C. Cantwell</w:t>
            </w:r>
          </w:p>
        </w:tc>
        <w:tc>
          <w:tcPr>
            <w:tcW w:w="5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Claudia Fan Munce</w:t>
            </w:r>
          </w:p>
        </w:tc>
        <w:tc>
          <w:tcPr>
            <w:tcW w:w="5720" w:type="dxa"/>
            <w:vAlign w:val="bottom"/>
          </w:tcPr>
          <w:p>
            <w:pPr>
              <w:ind w:left="20"/>
              <w:spacing w:after="0"/>
              <w:rPr>
                <w:sz w:val="20"/>
                <w:szCs w:val="20"/>
                <w:color w:val="auto"/>
              </w:rPr>
            </w:pPr>
            <w:r>
              <w:rPr>
                <w:rFonts w:ascii="Arial" w:cs="Arial" w:eastAsia="Arial" w:hAnsi="Arial"/>
                <w:sz w:val="17"/>
                <w:szCs w:val="17"/>
                <w:color w:val="auto"/>
              </w:rPr>
              <w:t>Director</w:t>
            </w:r>
          </w:p>
        </w:tc>
        <w:tc>
          <w:tcPr>
            <w:tcW w:w="2200" w:type="dxa"/>
            <w:vAlign w:val="bottom"/>
          </w:tcPr>
          <w:p>
            <w:pPr>
              <w:jc w:val="center"/>
              <w:spacing w:after="0"/>
              <w:rPr>
                <w:sz w:val="20"/>
                <w:szCs w:val="20"/>
                <w:color w:val="auto"/>
              </w:rPr>
            </w:pPr>
            <w:r>
              <w:rPr>
                <w:rFonts w:ascii="Arial" w:cs="Arial" w:eastAsia="Arial" w:hAnsi="Arial"/>
                <w:sz w:val="17"/>
                <w:szCs w:val="17"/>
                <w:color w:val="auto"/>
              </w:rPr>
              <w:t>February 18, 2025</w:t>
            </w:r>
          </w:p>
        </w:tc>
        <w:tc>
          <w:tcPr>
            <w:tcW w:w="0" w:type="dxa"/>
            <w:vAlign w:val="bottom"/>
          </w:tcPr>
          <w:p>
            <w:pPr>
              <w:spacing w:after="0"/>
              <w:rPr>
                <w:sz w:val="1"/>
                <w:szCs w:val="1"/>
                <w:color w:val="auto"/>
              </w:rPr>
            </w:pPr>
          </w:p>
        </w:tc>
      </w:tr>
      <w:tr>
        <w:trPr>
          <w:trHeight w:val="221"/>
        </w:trPr>
        <w:tc>
          <w:tcPr>
            <w:tcW w:w="3180" w:type="dxa"/>
            <w:vAlign w:val="bottom"/>
          </w:tcPr>
          <w:p>
            <w:pPr>
              <w:jc w:val="center"/>
              <w:spacing w:after="0"/>
              <w:rPr>
                <w:sz w:val="20"/>
                <w:szCs w:val="20"/>
                <w:color w:val="auto"/>
              </w:rPr>
            </w:pPr>
            <w:r>
              <w:rPr>
                <w:rFonts w:ascii="Arial" w:cs="Arial" w:eastAsia="Arial" w:hAnsi="Arial"/>
                <w:sz w:val="17"/>
                <w:szCs w:val="17"/>
                <w:color w:val="auto"/>
              </w:rPr>
              <w:t>Claudia Fan Munce</w:t>
            </w:r>
          </w:p>
        </w:tc>
        <w:tc>
          <w:tcPr>
            <w:tcW w:w="5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Raman K. Chitkara</w:t>
            </w:r>
          </w:p>
        </w:tc>
        <w:tc>
          <w:tcPr>
            <w:tcW w:w="5720" w:type="dxa"/>
            <w:vAlign w:val="bottom"/>
          </w:tcPr>
          <w:p>
            <w:pPr>
              <w:ind w:left="20"/>
              <w:spacing w:after="0"/>
              <w:rPr>
                <w:sz w:val="20"/>
                <w:szCs w:val="20"/>
                <w:color w:val="auto"/>
              </w:rPr>
            </w:pPr>
            <w:r>
              <w:rPr>
                <w:rFonts w:ascii="Arial" w:cs="Arial" w:eastAsia="Arial" w:hAnsi="Arial"/>
                <w:sz w:val="17"/>
                <w:szCs w:val="17"/>
                <w:color w:val="auto"/>
              </w:rPr>
              <w:t>Director</w:t>
            </w:r>
          </w:p>
        </w:tc>
        <w:tc>
          <w:tcPr>
            <w:tcW w:w="2200" w:type="dxa"/>
            <w:vAlign w:val="bottom"/>
          </w:tcPr>
          <w:p>
            <w:pPr>
              <w:jc w:val="center"/>
              <w:spacing w:after="0"/>
              <w:rPr>
                <w:sz w:val="20"/>
                <w:szCs w:val="20"/>
                <w:color w:val="auto"/>
              </w:rPr>
            </w:pPr>
            <w:r>
              <w:rPr>
                <w:rFonts w:ascii="Arial" w:cs="Arial" w:eastAsia="Arial" w:hAnsi="Arial"/>
                <w:sz w:val="17"/>
                <w:szCs w:val="17"/>
                <w:color w:val="auto"/>
              </w:rPr>
              <w:t>February 18, 2025</w:t>
            </w:r>
          </w:p>
        </w:tc>
        <w:tc>
          <w:tcPr>
            <w:tcW w:w="0" w:type="dxa"/>
            <w:vAlign w:val="bottom"/>
          </w:tcPr>
          <w:p>
            <w:pPr>
              <w:spacing w:after="0"/>
              <w:rPr>
                <w:sz w:val="1"/>
                <w:szCs w:val="1"/>
                <w:color w:val="auto"/>
              </w:rPr>
            </w:pPr>
          </w:p>
        </w:tc>
      </w:tr>
      <w:tr>
        <w:trPr>
          <w:trHeight w:val="221"/>
        </w:trPr>
        <w:tc>
          <w:tcPr>
            <w:tcW w:w="3180" w:type="dxa"/>
            <w:vAlign w:val="bottom"/>
          </w:tcPr>
          <w:p>
            <w:pPr>
              <w:jc w:val="center"/>
              <w:spacing w:after="0"/>
              <w:rPr>
                <w:sz w:val="20"/>
                <w:szCs w:val="20"/>
                <w:color w:val="auto"/>
              </w:rPr>
            </w:pPr>
            <w:r>
              <w:rPr>
                <w:rFonts w:ascii="Arial" w:cs="Arial" w:eastAsia="Arial" w:hAnsi="Arial"/>
                <w:sz w:val="17"/>
                <w:szCs w:val="17"/>
                <w:color w:val="auto"/>
              </w:rPr>
              <w:t>Raman K. Chitkara</w:t>
            </w:r>
          </w:p>
        </w:tc>
        <w:tc>
          <w:tcPr>
            <w:tcW w:w="5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/s/ Isabelle F. Geday</w:t>
            </w:r>
          </w:p>
        </w:tc>
        <w:tc>
          <w:tcPr>
            <w:tcW w:w="5720" w:type="dxa"/>
            <w:vAlign w:val="bottom"/>
          </w:tcPr>
          <w:p>
            <w:pPr>
              <w:ind w:left="20"/>
              <w:spacing w:after="0"/>
              <w:rPr>
                <w:sz w:val="20"/>
                <w:szCs w:val="20"/>
                <w:color w:val="auto"/>
              </w:rPr>
            </w:pPr>
            <w:r>
              <w:rPr>
                <w:rFonts w:ascii="Arial" w:cs="Arial" w:eastAsia="Arial" w:hAnsi="Arial"/>
                <w:sz w:val="17"/>
                <w:szCs w:val="17"/>
                <w:color w:val="auto"/>
              </w:rPr>
              <w:t>Director</w:t>
            </w:r>
          </w:p>
        </w:tc>
        <w:tc>
          <w:tcPr>
            <w:tcW w:w="2200" w:type="dxa"/>
            <w:vAlign w:val="bottom"/>
          </w:tcPr>
          <w:p>
            <w:pPr>
              <w:jc w:val="center"/>
              <w:spacing w:after="0"/>
              <w:rPr>
                <w:sz w:val="20"/>
                <w:szCs w:val="20"/>
                <w:color w:val="auto"/>
              </w:rPr>
            </w:pPr>
            <w:r>
              <w:rPr>
                <w:rFonts w:ascii="Arial" w:cs="Arial" w:eastAsia="Arial" w:hAnsi="Arial"/>
                <w:sz w:val="17"/>
                <w:szCs w:val="17"/>
                <w:color w:val="auto"/>
              </w:rPr>
              <w:t>February 18, 2025</w:t>
            </w:r>
          </w:p>
        </w:tc>
        <w:tc>
          <w:tcPr>
            <w:tcW w:w="0" w:type="dxa"/>
            <w:vAlign w:val="bottom"/>
          </w:tcPr>
          <w:p>
            <w:pPr>
              <w:spacing w:after="0"/>
              <w:rPr>
                <w:sz w:val="1"/>
                <w:szCs w:val="1"/>
                <w:color w:val="auto"/>
              </w:rPr>
            </w:pPr>
          </w:p>
        </w:tc>
      </w:tr>
      <w:tr>
        <w:trPr>
          <w:trHeight w:val="221"/>
        </w:trPr>
        <w:tc>
          <w:tcPr>
            <w:tcW w:w="3180" w:type="dxa"/>
            <w:vAlign w:val="bottom"/>
          </w:tcPr>
          <w:p>
            <w:pPr>
              <w:jc w:val="center"/>
              <w:spacing w:after="0"/>
              <w:rPr>
                <w:sz w:val="20"/>
                <w:szCs w:val="20"/>
                <w:color w:val="auto"/>
              </w:rPr>
            </w:pPr>
            <w:r>
              <w:rPr>
                <w:rFonts w:ascii="Arial" w:cs="Arial" w:eastAsia="Arial" w:hAnsi="Arial"/>
                <w:sz w:val="17"/>
                <w:szCs w:val="17"/>
                <w:color w:val="auto"/>
                <w:w w:val="99"/>
              </w:rPr>
              <w:t>Isabelle F. Geday</w:t>
            </w:r>
          </w:p>
        </w:tc>
        <w:tc>
          <w:tcPr>
            <w:tcW w:w="5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S. Atiq Raza</w:t>
            </w:r>
          </w:p>
        </w:tc>
        <w:tc>
          <w:tcPr>
            <w:tcW w:w="5720" w:type="dxa"/>
            <w:vAlign w:val="bottom"/>
          </w:tcPr>
          <w:p>
            <w:pPr>
              <w:ind w:left="20"/>
              <w:spacing w:after="0"/>
              <w:rPr>
                <w:sz w:val="20"/>
                <w:szCs w:val="20"/>
                <w:color w:val="auto"/>
              </w:rPr>
            </w:pPr>
            <w:r>
              <w:rPr>
                <w:rFonts w:ascii="Arial" w:cs="Arial" w:eastAsia="Arial" w:hAnsi="Arial"/>
                <w:sz w:val="17"/>
                <w:szCs w:val="17"/>
                <w:color w:val="auto"/>
              </w:rPr>
              <w:t>Director</w:t>
            </w:r>
          </w:p>
        </w:tc>
        <w:tc>
          <w:tcPr>
            <w:tcW w:w="2200" w:type="dxa"/>
            <w:vAlign w:val="bottom"/>
          </w:tcPr>
          <w:p>
            <w:pPr>
              <w:jc w:val="center"/>
              <w:spacing w:after="0"/>
              <w:rPr>
                <w:sz w:val="20"/>
                <w:szCs w:val="20"/>
                <w:color w:val="auto"/>
              </w:rPr>
            </w:pPr>
            <w:r>
              <w:rPr>
                <w:rFonts w:ascii="Arial" w:cs="Arial" w:eastAsia="Arial" w:hAnsi="Arial"/>
                <w:sz w:val="17"/>
                <w:szCs w:val="17"/>
                <w:color w:val="auto"/>
              </w:rPr>
              <w:t>February 18, 2025</w:t>
            </w:r>
          </w:p>
        </w:tc>
        <w:tc>
          <w:tcPr>
            <w:tcW w:w="0" w:type="dxa"/>
            <w:vAlign w:val="bottom"/>
          </w:tcPr>
          <w:p>
            <w:pPr>
              <w:spacing w:after="0"/>
              <w:rPr>
                <w:sz w:val="1"/>
                <w:szCs w:val="1"/>
                <w:color w:val="auto"/>
              </w:rPr>
            </w:pPr>
          </w:p>
        </w:tc>
      </w:tr>
      <w:tr>
        <w:trPr>
          <w:trHeight w:val="221"/>
        </w:trPr>
        <w:tc>
          <w:tcPr>
            <w:tcW w:w="3180" w:type="dxa"/>
            <w:vAlign w:val="bottom"/>
          </w:tcPr>
          <w:p>
            <w:pPr>
              <w:jc w:val="center"/>
              <w:spacing w:after="0"/>
              <w:rPr>
                <w:sz w:val="20"/>
                <w:szCs w:val="20"/>
                <w:color w:val="auto"/>
              </w:rPr>
            </w:pPr>
            <w:r>
              <w:rPr>
                <w:rFonts w:ascii="Arial" w:cs="Arial" w:eastAsia="Arial" w:hAnsi="Arial"/>
                <w:sz w:val="17"/>
                <w:szCs w:val="17"/>
                <w:color w:val="auto"/>
                <w:w w:val="99"/>
              </w:rPr>
              <w:t>S. Atiq Raza</w:t>
            </w:r>
          </w:p>
        </w:tc>
        <w:tc>
          <w:tcPr>
            <w:tcW w:w="5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Antonio J. Viana</w:t>
            </w:r>
          </w:p>
        </w:tc>
        <w:tc>
          <w:tcPr>
            <w:tcW w:w="5720" w:type="dxa"/>
            <w:vAlign w:val="bottom"/>
          </w:tcPr>
          <w:p>
            <w:pPr>
              <w:ind w:left="20"/>
              <w:spacing w:after="0"/>
              <w:rPr>
                <w:sz w:val="20"/>
                <w:szCs w:val="20"/>
                <w:color w:val="auto"/>
              </w:rPr>
            </w:pPr>
            <w:r>
              <w:rPr>
                <w:rFonts w:ascii="Arial" w:cs="Arial" w:eastAsia="Arial" w:hAnsi="Arial"/>
                <w:sz w:val="17"/>
                <w:szCs w:val="17"/>
                <w:color w:val="auto"/>
              </w:rPr>
              <w:t>Director</w:t>
            </w:r>
          </w:p>
        </w:tc>
        <w:tc>
          <w:tcPr>
            <w:tcW w:w="2200" w:type="dxa"/>
            <w:vAlign w:val="bottom"/>
          </w:tcPr>
          <w:p>
            <w:pPr>
              <w:jc w:val="center"/>
              <w:spacing w:after="0"/>
              <w:rPr>
                <w:sz w:val="20"/>
                <w:szCs w:val="20"/>
                <w:color w:val="auto"/>
              </w:rPr>
            </w:pPr>
            <w:r>
              <w:rPr>
                <w:rFonts w:ascii="Arial" w:cs="Arial" w:eastAsia="Arial" w:hAnsi="Arial"/>
                <w:sz w:val="17"/>
                <w:szCs w:val="17"/>
                <w:color w:val="auto"/>
              </w:rPr>
              <w:t>February 18, 2025</w:t>
            </w:r>
          </w:p>
        </w:tc>
        <w:tc>
          <w:tcPr>
            <w:tcW w:w="0" w:type="dxa"/>
            <w:vAlign w:val="bottom"/>
          </w:tcPr>
          <w:p>
            <w:pPr>
              <w:spacing w:after="0"/>
              <w:rPr>
                <w:sz w:val="1"/>
                <w:szCs w:val="1"/>
                <w:color w:val="auto"/>
              </w:rPr>
            </w:pPr>
          </w:p>
        </w:tc>
      </w:tr>
      <w:tr>
        <w:trPr>
          <w:trHeight w:val="221"/>
        </w:trPr>
        <w:tc>
          <w:tcPr>
            <w:tcW w:w="3180" w:type="dxa"/>
            <w:vAlign w:val="bottom"/>
          </w:tcPr>
          <w:p>
            <w:pPr>
              <w:jc w:val="center"/>
              <w:spacing w:after="0"/>
              <w:rPr>
                <w:sz w:val="20"/>
                <w:szCs w:val="20"/>
                <w:color w:val="auto"/>
              </w:rPr>
            </w:pPr>
            <w:r>
              <w:rPr>
                <w:rFonts w:ascii="Arial" w:cs="Arial" w:eastAsia="Arial" w:hAnsi="Arial"/>
                <w:sz w:val="17"/>
                <w:szCs w:val="17"/>
                <w:color w:val="auto"/>
              </w:rPr>
              <w:t>Antonio J. Viana</w:t>
            </w:r>
          </w:p>
        </w:tc>
        <w:tc>
          <w:tcPr>
            <w:tcW w:w="5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Joachim Kunkel</w:t>
            </w:r>
          </w:p>
        </w:tc>
        <w:tc>
          <w:tcPr>
            <w:tcW w:w="5720" w:type="dxa"/>
            <w:vAlign w:val="bottom"/>
          </w:tcPr>
          <w:p>
            <w:pPr>
              <w:ind w:left="20"/>
              <w:spacing w:after="0"/>
              <w:rPr>
                <w:sz w:val="20"/>
                <w:szCs w:val="20"/>
                <w:color w:val="auto"/>
              </w:rPr>
            </w:pPr>
            <w:r>
              <w:rPr>
                <w:rFonts w:ascii="Arial" w:cs="Arial" w:eastAsia="Arial" w:hAnsi="Arial"/>
                <w:sz w:val="17"/>
                <w:szCs w:val="17"/>
                <w:color w:val="auto"/>
              </w:rPr>
              <w:t>Director</w:t>
            </w:r>
          </w:p>
        </w:tc>
        <w:tc>
          <w:tcPr>
            <w:tcW w:w="2200" w:type="dxa"/>
            <w:vAlign w:val="bottom"/>
          </w:tcPr>
          <w:p>
            <w:pPr>
              <w:jc w:val="center"/>
              <w:spacing w:after="0"/>
              <w:rPr>
                <w:sz w:val="20"/>
                <w:szCs w:val="20"/>
                <w:color w:val="auto"/>
              </w:rPr>
            </w:pPr>
            <w:r>
              <w:rPr>
                <w:rFonts w:ascii="Arial" w:cs="Arial" w:eastAsia="Arial" w:hAnsi="Arial"/>
                <w:sz w:val="17"/>
                <w:szCs w:val="17"/>
                <w:color w:val="auto"/>
              </w:rPr>
              <w:t>February 18, 2025</w:t>
            </w:r>
          </w:p>
        </w:tc>
        <w:tc>
          <w:tcPr>
            <w:tcW w:w="0" w:type="dxa"/>
            <w:vAlign w:val="bottom"/>
          </w:tcPr>
          <w:p>
            <w:pPr>
              <w:spacing w:after="0"/>
              <w:rPr>
                <w:sz w:val="1"/>
                <w:szCs w:val="1"/>
                <w:color w:val="auto"/>
              </w:rPr>
            </w:pPr>
          </w:p>
        </w:tc>
      </w:tr>
      <w:tr>
        <w:trPr>
          <w:trHeight w:val="225"/>
        </w:trPr>
        <w:tc>
          <w:tcPr>
            <w:tcW w:w="3180" w:type="dxa"/>
            <w:vAlign w:val="bottom"/>
          </w:tcPr>
          <w:p>
            <w:pPr>
              <w:jc w:val="center"/>
              <w:spacing w:after="0"/>
              <w:rPr>
                <w:sz w:val="20"/>
                <w:szCs w:val="20"/>
                <w:color w:val="auto"/>
              </w:rPr>
            </w:pPr>
            <w:r>
              <w:rPr>
                <w:rFonts w:ascii="Arial" w:cs="Arial" w:eastAsia="Arial" w:hAnsi="Arial"/>
                <w:sz w:val="17"/>
                <w:szCs w:val="17"/>
                <w:color w:val="auto"/>
                <w:w w:val="99"/>
              </w:rPr>
              <w:t>Joachim Kunkel</w:t>
            </w:r>
          </w:p>
        </w:tc>
        <w:tc>
          <w:tcPr>
            <w:tcW w:w="5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7"/>
        </w:trPr>
        <w:tc>
          <w:tcPr>
            <w:tcW w:w="3180" w:type="dxa"/>
            <w:vAlign w:val="bottom"/>
          </w:tcPr>
          <w:p>
            <w:pPr>
              <w:spacing w:after="0"/>
              <w:rPr>
                <w:sz w:val="24"/>
                <w:szCs w:val="24"/>
                <w:color w:val="auto"/>
              </w:rPr>
            </w:pPr>
          </w:p>
        </w:tc>
        <w:tc>
          <w:tcPr>
            <w:tcW w:w="5720" w:type="dxa"/>
            <w:vAlign w:val="bottom"/>
          </w:tcPr>
          <w:p>
            <w:pPr>
              <w:ind w:left="2320"/>
              <w:spacing w:after="0"/>
              <w:rPr>
                <w:sz w:val="20"/>
                <w:szCs w:val="20"/>
                <w:color w:val="auto"/>
              </w:rPr>
            </w:pPr>
            <w:r>
              <w:rPr>
                <w:rFonts w:ascii="Arial" w:cs="Arial" w:eastAsia="Arial" w:hAnsi="Arial"/>
                <w:sz w:val="16"/>
                <w:szCs w:val="16"/>
                <w:color w:val="auto"/>
              </w:rPr>
              <w:t>115</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Subsidiaries of Arteris, Inc.</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spacing w:after="0"/>
              <w:rPr>
                <w:sz w:val="20"/>
                <w:szCs w:val="20"/>
                <w:color w:val="auto"/>
              </w:rPr>
            </w:pPr>
            <w:r>
              <w:rPr>
                <w:rFonts w:ascii="Arial" w:cs="Arial" w:eastAsia="Arial" w:hAnsi="Arial"/>
                <w:sz w:val="18"/>
                <w:szCs w:val="18"/>
                <w:b w:val="1"/>
                <w:bCs w:val="1"/>
                <w:color w:val="auto"/>
              </w:rPr>
              <w:t>Legal Name of Subsidiary</w:t>
            </w:r>
          </w:p>
        </w:tc>
        <w:tc>
          <w:tcPr>
            <w:tcW w:w="2580" w:type="dxa"/>
            <w:vAlign w:val="bottom"/>
          </w:tcPr>
          <w:p>
            <w:pPr>
              <w:ind w:left="180"/>
              <w:spacing w:after="0"/>
              <w:rPr>
                <w:sz w:val="20"/>
                <w:szCs w:val="20"/>
                <w:color w:val="auto"/>
              </w:rPr>
            </w:pPr>
            <w:r>
              <w:rPr>
                <w:rFonts w:ascii="Arial" w:cs="Arial" w:eastAsia="Arial" w:hAnsi="Arial"/>
                <w:sz w:val="18"/>
                <w:szCs w:val="18"/>
                <w:b w:val="1"/>
                <w:bCs w:val="1"/>
                <w:color w:val="auto"/>
                <w:w w:val="99"/>
              </w:rPr>
              <w:t>Jurisdiction of Organization</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Arteris Semiconductor Technology (Nanjing) Co., Ltd.</w:t>
            </w:r>
          </w:p>
        </w:tc>
        <w:tc>
          <w:tcPr>
            <w:tcW w:w="2580" w:type="dxa"/>
            <w:vAlign w:val="bottom"/>
          </w:tcPr>
          <w:p>
            <w:pPr>
              <w:ind w:left="180"/>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29"/>
        </w:trPr>
        <w:tc>
          <w:tcPr>
            <w:tcW w:w="7080" w:type="dxa"/>
            <w:vAlign w:val="bottom"/>
          </w:tcPr>
          <w:p>
            <w:pPr>
              <w:spacing w:after="0"/>
              <w:rPr>
                <w:sz w:val="20"/>
                <w:szCs w:val="20"/>
                <w:color w:val="auto"/>
              </w:rPr>
            </w:pPr>
            <w:r>
              <w:rPr>
                <w:rFonts w:ascii="Arial" w:cs="Arial" w:eastAsia="Arial" w:hAnsi="Arial"/>
                <w:sz w:val="18"/>
                <w:szCs w:val="18"/>
                <w:color w:val="auto"/>
              </w:rPr>
              <w:t>Arteris IP Korea Limited</w:t>
            </w:r>
          </w:p>
        </w:tc>
        <w:tc>
          <w:tcPr>
            <w:tcW w:w="2580" w:type="dxa"/>
            <w:vAlign w:val="bottom"/>
          </w:tcPr>
          <w:p>
            <w:pPr>
              <w:ind w:left="180"/>
              <w:spacing w:after="0"/>
              <w:rPr>
                <w:sz w:val="20"/>
                <w:szCs w:val="20"/>
                <w:color w:val="auto"/>
              </w:rPr>
            </w:pPr>
            <w:r>
              <w:rPr>
                <w:rFonts w:ascii="Arial" w:cs="Arial" w:eastAsia="Arial" w:hAnsi="Arial"/>
                <w:sz w:val="18"/>
                <w:szCs w:val="18"/>
                <w:color w:val="auto"/>
              </w:rPr>
              <w:t>Korea</w:t>
            </w:r>
          </w:p>
        </w:tc>
        <w:tc>
          <w:tcPr>
            <w:tcW w:w="0" w:type="dxa"/>
            <w:vAlign w:val="bottom"/>
          </w:tcPr>
          <w:p>
            <w:pPr>
              <w:spacing w:after="0"/>
              <w:rPr>
                <w:sz w:val="1"/>
                <w:szCs w:val="1"/>
                <w:color w:val="auto"/>
              </w:rPr>
            </w:pPr>
          </w:p>
        </w:tc>
      </w:tr>
      <w:tr>
        <w:trPr>
          <w:trHeight w:val="229"/>
        </w:trPr>
        <w:tc>
          <w:tcPr>
            <w:tcW w:w="7080" w:type="dxa"/>
            <w:vAlign w:val="bottom"/>
          </w:tcPr>
          <w:p>
            <w:pPr>
              <w:spacing w:after="0"/>
              <w:rPr>
                <w:sz w:val="20"/>
                <w:szCs w:val="20"/>
                <w:color w:val="auto"/>
              </w:rPr>
            </w:pPr>
            <w:r>
              <w:rPr>
                <w:rFonts w:ascii="Arial" w:cs="Arial" w:eastAsia="Arial" w:hAnsi="Arial"/>
                <w:sz w:val="18"/>
                <w:szCs w:val="18"/>
                <w:color w:val="auto"/>
              </w:rPr>
              <w:t>Arteris K.K.</w:t>
            </w:r>
          </w:p>
        </w:tc>
        <w:tc>
          <w:tcPr>
            <w:tcW w:w="2580" w:type="dxa"/>
            <w:vAlign w:val="bottom"/>
          </w:tcPr>
          <w:p>
            <w:pPr>
              <w:ind w:left="1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Arteris IP SAS</w:t>
            </w:r>
          </w:p>
        </w:tc>
        <w:tc>
          <w:tcPr>
            <w:tcW w:w="2580" w:type="dxa"/>
            <w:vAlign w:val="bottom"/>
          </w:tcPr>
          <w:p>
            <w:pPr>
              <w:ind w:left="18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29"/>
        </w:trPr>
        <w:tc>
          <w:tcPr>
            <w:tcW w:w="7080" w:type="dxa"/>
            <w:vAlign w:val="bottom"/>
          </w:tcPr>
          <w:p>
            <w:pPr>
              <w:spacing w:after="0"/>
              <w:rPr>
                <w:sz w:val="20"/>
                <w:szCs w:val="20"/>
                <w:color w:val="auto"/>
              </w:rPr>
            </w:pPr>
            <w:r>
              <w:rPr>
                <w:rFonts w:ascii="Arial" w:cs="Arial" w:eastAsia="Arial" w:hAnsi="Arial"/>
                <w:sz w:val="18"/>
                <w:szCs w:val="18"/>
                <w:color w:val="auto"/>
              </w:rPr>
              <w:t>Arteris HK Limited</w:t>
            </w:r>
          </w:p>
        </w:tc>
        <w:tc>
          <w:tcPr>
            <w:tcW w:w="2580" w:type="dxa"/>
            <w:vAlign w:val="bottom"/>
          </w:tcPr>
          <w:p>
            <w:pPr>
              <w:ind w:left="18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189"/>
        </w:trPr>
        <w:tc>
          <w:tcPr>
            <w:tcW w:w="7080" w:type="dxa"/>
            <w:vAlign w:val="bottom"/>
          </w:tcPr>
          <w:p>
            <w:pPr>
              <w:spacing w:after="0" w:line="189" w:lineRule="exact"/>
              <w:rPr>
                <w:sz w:val="20"/>
                <w:szCs w:val="20"/>
                <w:color w:val="auto"/>
              </w:rPr>
            </w:pPr>
            <w:r>
              <w:rPr>
                <w:rFonts w:ascii="Arial" w:cs="Arial" w:eastAsia="Arial" w:hAnsi="Arial"/>
                <w:sz w:val="18"/>
                <w:szCs w:val="18"/>
                <w:color w:val="auto"/>
              </w:rPr>
              <w:t>Arteris Poland Spółka z ograniczoną odpowiedzialnością also known as Arteris Poland</w:t>
            </w:r>
          </w:p>
        </w:tc>
        <w:tc>
          <w:tcPr>
            <w:tcW w:w="2580" w:type="dxa"/>
            <w:vAlign w:val="bottom"/>
            <w:vMerge w:val="restart"/>
          </w:tcPr>
          <w:p>
            <w:pPr>
              <w:ind w:left="18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29"/>
        </w:trPr>
        <w:tc>
          <w:tcPr>
            <w:tcW w:w="7080" w:type="dxa"/>
            <w:vAlign w:val="bottom"/>
          </w:tcPr>
          <w:p>
            <w:pPr>
              <w:spacing w:after="0"/>
              <w:rPr>
                <w:sz w:val="20"/>
                <w:szCs w:val="20"/>
                <w:color w:val="auto"/>
              </w:rPr>
            </w:pPr>
            <w:r>
              <w:rPr>
                <w:rFonts w:ascii="Arial" w:cs="Arial" w:eastAsia="Arial" w:hAnsi="Arial"/>
                <w:sz w:val="18"/>
                <w:szCs w:val="18"/>
                <w:color w:val="auto"/>
              </w:rPr>
              <w:t>Sp. z o.o.</w:t>
            </w:r>
          </w:p>
        </w:tc>
        <w:tc>
          <w:tcPr>
            <w:tcW w:w="2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080" w:type="dxa"/>
            <w:vAlign w:val="bottom"/>
          </w:tcPr>
          <w:p>
            <w:pPr>
              <w:spacing w:after="0"/>
              <w:rPr>
                <w:sz w:val="20"/>
                <w:szCs w:val="20"/>
                <w:color w:val="auto"/>
              </w:rPr>
            </w:pPr>
            <w:r>
              <w:rPr>
                <w:rFonts w:ascii="Arial" w:cs="Arial" w:eastAsia="Arial" w:hAnsi="Arial"/>
                <w:sz w:val="18"/>
                <w:szCs w:val="18"/>
                <w:color w:val="auto"/>
              </w:rPr>
              <w:t>Sauternes Merger Sub II, LLC</w:t>
            </w:r>
          </w:p>
        </w:tc>
        <w:tc>
          <w:tcPr>
            <w:tcW w:w="2580" w:type="dxa"/>
            <w:vAlign w:val="bottom"/>
          </w:tcPr>
          <w:p>
            <w:pPr>
              <w:ind w:left="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760"/>
          </w:cols>
          <w:pgMar w:left="800" w:top="126"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333-268257 on Form S-3 and Registration Statement Nos. 333-260620, 333-263352, 333-268258, 333-270173, and 333-277200 on Form S-8 of our report dated February 18, 2025, relating to the financial statements of Arteris, Inc. appearing in this Annual Report on Form 10-K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ectPr>
          <w:pgSz w:w="11900" w:h="16838" w:orient="portrait"/>
          <w:cols w:equalWidth="0" w:num="1">
            <w:col w:w="11240"/>
          </w:cols>
          <w:pgMar w:left="320" w:top="117"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 Charles Janac, certify that:</w:t>
      </w:r>
    </w:p>
    <w:p>
      <w:pPr>
        <w:spacing w:after="0" w:line="50" w:lineRule="exact"/>
        <w:rPr>
          <w:sz w:val="20"/>
          <w:szCs w:val="20"/>
          <w:color w:val="auto"/>
        </w:rPr>
      </w:pPr>
    </w:p>
    <w:p>
      <w:pPr>
        <w:ind w:left="640" w:hanging="610"/>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Arteris, Inc.;</w:t>
      </w:r>
    </w:p>
    <w:p>
      <w:pPr>
        <w:spacing w:after="0" w:line="144" w:lineRule="exact"/>
        <w:rPr>
          <w:rFonts w:ascii="Times New Roman" w:cs="Times New Roman" w:eastAsia="Times New Roman" w:hAnsi="Times New Roman"/>
          <w:sz w:val="18"/>
          <w:szCs w:val="18"/>
          <w:color w:val="auto"/>
        </w:rPr>
      </w:pPr>
    </w:p>
    <w:p>
      <w:pPr>
        <w:jc w:val="both"/>
        <w:ind w:left="640" w:right="140" w:hanging="610"/>
        <w:spacing w:after="0" w:line="226"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40" w:right="100" w:hanging="610"/>
        <w:spacing w:after="0" w:line="250"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jc w:val="both"/>
        <w:ind w:left="640" w:right="140" w:hanging="610"/>
        <w:spacing w:after="0" w:line="231"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15d-14(f)) for the registrant and have:</w:t>
      </w:r>
    </w:p>
    <w:p>
      <w:pPr>
        <w:spacing w:after="0" w:line="117" w:lineRule="exact"/>
        <w:rPr>
          <w:rFonts w:ascii="Times New Roman" w:cs="Times New Roman" w:eastAsia="Times New Roman" w:hAnsi="Times New Roman"/>
          <w:sz w:val="18"/>
          <w:szCs w:val="18"/>
          <w:color w:val="auto"/>
        </w:rPr>
      </w:pPr>
    </w:p>
    <w:p>
      <w:pPr>
        <w:ind w:left="1260" w:right="160" w:hanging="622"/>
        <w:spacing w:after="0" w:line="226" w:lineRule="auto"/>
        <w:tabs>
          <w:tab w:leader="none" w:pos="12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260" w:right="80" w:hanging="622"/>
        <w:spacing w:after="0" w:line="231" w:lineRule="auto"/>
        <w:tabs>
          <w:tab w:leader="none" w:pos="12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260" w:right="260" w:hanging="622"/>
        <w:spacing w:after="0" w:line="273" w:lineRule="auto"/>
        <w:tabs>
          <w:tab w:leader="none" w:pos="126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0" w:lineRule="exact"/>
        <w:rPr>
          <w:rFonts w:ascii="Times New Roman" w:cs="Times New Roman" w:eastAsia="Times New Roman" w:hAnsi="Times New Roman"/>
          <w:sz w:val="17"/>
          <w:szCs w:val="17"/>
          <w:color w:val="auto"/>
        </w:rPr>
      </w:pPr>
    </w:p>
    <w:p>
      <w:pPr>
        <w:ind w:left="1260" w:right="280" w:hanging="622"/>
        <w:spacing w:after="0" w:line="231" w:lineRule="auto"/>
        <w:tabs>
          <w:tab w:leader="none" w:pos="12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640" w:right="120" w:hanging="610"/>
        <w:spacing w:after="0" w:line="237"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260" w:right="500" w:hanging="622"/>
        <w:spacing w:after="0" w:line="250" w:lineRule="auto"/>
        <w:tabs>
          <w:tab w:leader="none" w:pos="12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260" w:right="200" w:hanging="622"/>
        <w:spacing w:after="0" w:line="237" w:lineRule="auto"/>
        <w:tabs>
          <w:tab w:leader="none" w:pos="12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p>
      <w:pPr>
        <w:ind w:left="20"/>
        <w:spacing w:after="0"/>
        <w:tabs>
          <w:tab w:leader="none" w:pos="4840" w:val="left"/>
          <w:tab w:leader="none" w:pos="7500" w:val="left"/>
        </w:tabs>
        <w:rPr>
          <w:sz w:val="20"/>
          <w:szCs w:val="20"/>
          <w:color w:val="auto"/>
        </w:rPr>
      </w:pPr>
      <w:r>
        <w:rPr>
          <w:rFonts w:ascii="Times New Roman" w:cs="Times New Roman" w:eastAsia="Times New Roman" w:hAnsi="Times New Roman"/>
          <w:sz w:val="18"/>
          <w:szCs w:val="18"/>
          <w:color w:val="auto"/>
        </w:rPr>
        <w:t>Date: February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 Charles Janac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17145</wp:posOffset>
            </wp:positionV>
            <wp:extent cx="339471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1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K. Charles Janac</w:t>
      </w:r>
    </w:p>
    <w:p>
      <w:pPr>
        <w:spacing w:after="0" w:line="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71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4"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Nicholas B. Hawkins, certify that:</w:t>
      </w:r>
    </w:p>
    <w:p>
      <w:pPr>
        <w:spacing w:after="0" w:line="50" w:lineRule="exact"/>
        <w:rPr>
          <w:sz w:val="20"/>
          <w:szCs w:val="20"/>
          <w:color w:val="auto"/>
        </w:rPr>
      </w:pPr>
    </w:p>
    <w:p>
      <w:pPr>
        <w:ind w:left="640" w:hanging="610"/>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Arteris, Inc.;</w:t>
      </w:r>
    </w:p>
    <w:p>
      <w:pPr>
        <w:spacing w:after="0" w:line="144" w:lineRule="exact"/>
        <w:rPr>
          <w:rFonts w:ascii="Times New Roman" w:cs="Times New Roman" w:eastAsia="Times New Roman" w:hAnsi="Times New Roman"/>
          <w:sz w:val="18"/>
          <w:szCs w:val="18"/>
          <w:color w:val="auto"/>
        </w:rPr>
      </w:pPr>
    </w:p>
    <w:p>
      <w:pPr>
        <w:jc w:val="both"/>
        <w:ind w:left="640" w:right="140" w:hanging="610"/>
        <w:spacing w:after="0" w:line="226"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40" w:right="100" w:hanging="610"/>
        <w:spacing w:after="0" w:line="250"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jc w:val="both"/>
        <w:ind w:left="640" w:right="140" w:hanging="610"/>
        <w:spacing w:after="0" w:line="231"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15d-14(f)) for the registrant and have:</w:t>
      </w:r>
    </w:p>
    <w:p>
      <w:pPr>
        <w:spacing w:after="0" w:line="117" w:lineRule="exact"/>
        <w:rPr>
          <w:rFonts w:ascii="Times New Roman" w:cs="Times New Roman" w:eastAsia="Times New Roman" w:hAnsi="Times New Roman"/>
          <w:sz w:val="18"/>
          <w:szCs w:val="18"/>
          <w:color w:val="auto"/>
        </w:rPr>
      </w:pPr>
    </w:p>
    <w:p>
      <w:pPr>
        <w:ind w:left="1260" w:right="160" w:hanging="622"/>
        <w:spacing w:after="0" w:line="226" w:lineRule="auto"/>
        <w:tabs>
          <w:tab w:leader="none" w:pos="12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260" w:right="80" w:hanging="622"/>
        <w:spacing w:after="0" w:line="231" w:lineRule="auto"/>
        <w:tabs>
          <w:tab w:leader="none" w:pos="12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260" w:right="260" w:hanging="622"/>
        <w:spacing w:after="0" w:line="273" w:lineRule="auto"/>
        <w:tabs>
          <w:tab w:leader="none" w:pos="126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0" w:lineRule="exact"/>
        <w:rPr>
          <w:rFonts w:ascii="Times New Roman" w:cs="Times New Roman" w:eastAsia="Times New Roman" w:hAnsi="Times New Roman"/>
          <w:sz w:val="17"/>
          <w:szCs w:val="17"/>
          <w:color w:val="auto"/>
        </w:rPr>
      </w:pPr>
    </w:p>
    <w:p>
      <w:pPr>
        <w:ind w:left="1260" w:right="280" w:hanging="622"/>
        <w:spacing w:after="0" w:line="231" w:lineRule="auto"/>
        <w:tabs>
          <w:tab w:leader="none" w:pos="12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640" w:right="120" w:hanging="610"/>
        <w:spacing w:after="0" w:line="237"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260" w:right="500" w:hanging="622"/>
        <w:spacing w:after="0" w:line="250" w:lineRule="auto"/>
        <w:tabs>
          <w:tab w:leader="none" w:pos="12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260" w:right="200" w:hanging="622"/>
        <w:spacing w:after="0" w:line="237" w:lineRule="auto"/>
        <w:tabs>
          <w:tab w:leader="none" w:pos="12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p>
      <w:pPr>
        <w:ind w:left="40"/>
        <w:spacing w:after="0"/>
        <w:tabs>
          <w:tab w:leader="none" w:pos="5180" w:val="left"/>
          <w:tab w:leader="none" w:pos="7520" w:val="left"/>
        </w:tabs>
        <w:rPr>
          <w:sz w:val="20"/>
          <w:szCs w:val="20"/>
          <w:color w:val="auto"/>
        </w:rPr>
      </w:pPr>
      <w:r>
        <w:rPr>
          <w:rFonts w:ascii="Times New Roman" w:cs="Times New Roman" w:eastAsia="Times New Roman" w:hAnsi="Times New Roman"/>
          <w:sz w:val="18"/>
          <w:szCs w:val="18"/>
          <w:color w:val="auto"/>
        </w:rPr>
        <w:t>Date: February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Nicholas B.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34201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color w:val="auto"/>
        </w:rPr>
        <w:t>Nicholas B. Hawkins</w:t>
      </w:r>
    </w:p>
    <w:p>
      <w:pPr>
        <w:spacing w:after="0" w:line="77"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77"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4"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9"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11"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8"/>
          <w:szCs w:val="18"/>
          <w:color w:val="auto"/>
        </w:rPr>
        <w:t>In connection with the Annual Report of Arteris, Inc. (the “Company”) on Form 10-K for the period ended December 31, 2024 as filed with the Securities and Exchange Commission on the date hereof (the “Report”), I certify, pursuant to 18 U.S.C. § 1350, as adopted pursuant to § 906 of the Sarbanes-Oxley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of 2002, that:</w:t>
      </w:r>
    </w:p>
    <w:p>
      <w:pPr>
        <w:spacing w:after="0" w:line="165" w:lineRule="exact"/>
        <w:rPr>
          <w:sz w:val="20"/>
          <w:szCs w:val="20"/>
          <w:color w:val="auto"/>
        </w:rPr>
      </w:pPr>
    </w:p>
    <w:p>
      <w:pPr>
        <w:ind w:left="900" w:hanging="43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900" w:right="680" w:hanging="438"/>
        <w:spacing w:after="0" w:line="237"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18, 2025</w:t>
      </w:r>
    </w:p>
    <w:p>
      <w:pPr>
        <w:spacing w:after="0" w:line="27" w:lineRule="exact"/>
        <w:rPr>
          <w:sz w:val="20"/>
          <w:szCs w:val="20"/>
          <w:color w:val="auto"/>
        </w:rPr>
      </w:pPr>
    </w:p>
    <w:p>
      <w:pPr>
        <w:ind w:left="6020"/>
        <w:spacing w:after="0"/>
        <w:tabs>
          <w:tab w:leader="none" w:pos="8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 Charles Janac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14605</wp:posOffset>
            </wp:positionV>
            <wp:extent cx="28632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11"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8"/>
          <w:szCs w:val="18"/>
          <w:color w:val="auto"/>
        </w:rPr>
        <w:t>K. Charles Janac</w:t>
      </w:r>
    </w:p>
    <w:p>
      <w:pPr>
        <w:spacing w:after="0" w:line="27"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4"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9"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11"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8"/>
          <w:szCs w:val="18"/>
          <w:color w:val="auto"/>
        </w:rPr>
        <w:t>In connection with the Annual Report of Arteris, Inc. (the “Company”) on Form 10-K for the period ended December 31, 2024 as filed with the Securities and Exchange Commission on the date hereof (the “Report”), I certify, pursuant to 18 U.S.C. § 1350, as adopted pursuant to § 906 of the Sarbanes-Oxley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of 2002, that:</w:t>
      </w:r>
    </w:p>
    <w:p>
      <w:pPr>
        <w:spacing w:after="0" w:line="165" w:lineRule="exact"/>
        <w:rPr>
          <w:sz w:val="20"/>
          <w:szCs w:val="20"/>
          <w:color w:val="auto"/>
        </w:rPr>
      </w:pPr>
    </w:p>
    <w:p>
      <w:pPr>
        <w:ind w:left="900" w:hanging="43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900" w:right="680" w:hanging="438"/>
        <w:spacing w:after="0" w:line="237"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18, 2025</w:t>
      </w:r>
    </w:p>
    <w:p>
      <w:pPr>
        <w:spacing w:after="0" w:line="27" w:lineRule="exact"/>
        <w:rPr>
          <w:sz w:val="20"/>
          <w:szCs w:val="20"/>
          <w:color w:val="auto"/>
        </w:rPr>
      </w:pPr>
    </w:p>
    <w:p>
      <w:pPr>
        <w:ind w:left="6020"/>
        <w:spacing w:after="0"/>
        <w:tabs>
          <w:tab w:leader="none" w:pos="8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Nicholas B.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14605</wp:posOffset>
            </wp:positionV>
            <wp:extent cx="28632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1"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8"/>
          <w:szCs w:val="18"/>
          <w:color w:val="auto"/>
        </w:rPr>
        <w:t>Nicholas B. Hawkins</w:t>
      </w:r>
    </w:p>
    <w:p>
      <w:pPr>
        <w:spacing w:after="0" w:line="27"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23"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4"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628650</wp:posOffset>
            </wp:positionV>
            <wp:extent cx="1980565" cy="3003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198056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Arteris Insider Trading Compliance Policy and Procedures Effective February 27,</w:t>
      </w: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2023</w:t>
      </w:r>
    </w:p>
    <w:p>
      <w:pPr>
        <w:spacing w:after="0" w:line="200" w:lineRule="exact"/>
        <w:rPr>
          <w:sz w:val="20"/>
          <w:szCs w:val="20"/>
          <w:color w:val="auto"/>
        </w:rPr>
      </w:pPr>
    </w:p>
    <w:p>
      <w:pPr>
        <w:spacing w:after="0" w:line="304" w:lineRule="exact"/>
        <w:rPr>
          <w:sz w:val="20"/>
          <w:szCs w:val="20"/>
          <w:color w:val="auto"/>
        </w:rPr>
      </w:pPr>
    </w:p>
    <w:p>
      <w:pPr>
        <w:jc w:val="both"/>
        <w:ind w:right="100" w:firstLine="648"/>
        <w:spacing w:after="0" w:line="358" w:lineRule="auto"/>
        <w:rPr>
          <w:sz w:val="20"/>
          <w:szCs w:val="20"/>
          <w:color w:val="auto"/>
        </w:rPr>
      </w:pPr>
      <w:r>
        <w:rPr>
          <w:rFonts w:ascii="Times New Roman" w:cs="Times New Roman" w:eastAsia="Times New Roman" w:hAnsi="Times New Roman"/>
          <w:sz w:val="19"/>
          <w:szCs w:val="19"/>
          <w:color w:val="auto"/>
        </w:rPr>
        <w:t>Federal and state laws prohibit trading in the securities of a company while in possession of material nonpublic information and in breach of a duty of trust or confidence. These laws also prohibit anyone who is aware of material nonpublic information from providing this information to others who may trade. Violating such laws can undermine investor trust, harm the reputation and integrity of Arteris, Inc. (together with its subsidiaries,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result in dismissal from the Company or even serious criminal and civil charges against the individual and the Company. The Company reserves the right to take whatever disciplinary or other measure(s) it determines in its sole discretion to be appropriate in any particular situation, including disclosure of wrongdoing to governmental authorities.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Persons Covered and Administration of Policy</w:t>
      </w:r>
    </w:p>
    <w:p>
      <w:pPr>
        <w:spacing w:after="0" w:line="355" w:lineRule="exact"/>
        <w:rPr>
          <w:sz w:val="20"/>
          <w:szCs w:val="20"/>
          <w:color w:val="auto"/>
        </w:rPr>
      </w:pPr>
    </w:p>
    <w:p>
      <w:pPr>
        <w:jc w:val="both"/>
        <w:ind w:right="100" w:firstLine="648"/>
        <w:spacing w:after="0" w:line="336" w:lineRule="auto"/>
        <w:rPr>
          <w:sz w:val="20"/>
          <w:szCs w:val="20"/>
          <w:color w:val="auto"/>
        </w:rPr>
      </w:pPr>
      <w:r>
        <w:rPr>
          <w:rFonts w:ascii="Times New Roman" w:cs="Times New Roman" w:eastAsia="Times New Roman" w:hAnsi="Times New Roman"/>
          <w:sz w:val="20"/>
          <w:szCs w:val="20"/>
          <w:color w:val="auto"/>
        </w:rPr>
        <w:t>This Insider Trading Compliance Policy and Procedures (this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applies to all officers, directors and employees of the Company. For purposes of this Policy, “officers” refer to those individuals who meet the definition of “officer” under Section 16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Individuals subject to this Policy are responsible for ensuring that members of their household comply with this Policy. This Policy also applies to any entities controlled by individuals subject to the Policy, including any corporations, limited liability companies, partnerships or trusts, and transactions by these entities should be treated for the purposes of this Policy as if they were for the individual’s own account. The Company may determine that this Policy applies to additional persons with access to material nonpublic information, such as contractors or consultants. Officers, directors and employees, together with any other person designated as being subject to this Policy by the Chief Compliance Officer or his or her designee (as defined below), are referred to collectively as “</w:t>
      </w:r>
      <w:r>
        <w:rPr>
          <w:rFonts w:ascii="Times New Roman" w:cs="Times New Roman" w:eastAsia="Times New Roman" w:hAnsi="Times New Roman"/>
          <w:sz w:val="20"/>
          <w:szCs w:val="20"/>
          <w:u w:val="single" w:color="auto"/>
          <w:color w:val="auto"/>
        </w:rPr>
        <w:t>Covered Persons.</w:t>
      </w:r>
      <w:r>
        <w:rPr>
          <w:rFonts w:ascii="Times New Roman" w:cs="Times New Roman" w:eastAsia="Times New Roman" w:hAnsi="Times New Roman"/>
          <w:sz w:val="20"/>
          <w:szCs w:val="20"/>
          <w:color w:val="auto"/>
        </w:rPr>
        <w:t>”</w:t>
      </w:r>
    </w:p>
    <w:p>
      <w:pPr>
        <w:spacing w:after="0" w:line="302" w:lineRule="exact"/>
        <w:rPr>
          <w:sz w:val="20"/>
          <w:szCs w:val="20"/>
          <w:color w:val="auto"/>
        </w:rPr>
      </w:pPr>
    </w:p>
    <w:p>
      <w:pPr>
        <w:ind w:right="580" w:firstLine="648"/>
        <w:spacing w:after="0" w:line="367" w:lineRule="auto"/>
        <w:rPr>
          <w:sz w:val="20"/>
          <w:szCs w:val="20"/>
          <w:color w:val="auto"/>
        </w:rPr>
      </w:pPr>
      <w:r>
        <w:rPr>
          <w:rFonts w:ascii="Times New Roman" w:cs="Times New Roman" w:eastAsia="Times New Roman" w:hAnsi="Times New Roman"/>
          <w:sz w:val="20"/>
          <w:szCs w:val="20"/>
          <w:color w:val="auto"/>
        </w:rPr>
        <w:t xml:space="preserve">The Company’s General Counsel, currently Paul Alpern, shall be responsible for the administration of this Policy (the “Chief </w:t>
      </w:r>
      <w:r>
        <w:rPr>
          <w:rFonts w:ascii="Times New Roman" w:cs="Times New Roman" w:eastAsia="Times New Roman" w:hAnsi="Times New Roman"/>
          <w:sz w:val="20"/>
          <w:szCs w:val="20"/>
          <w:u w:val="single" w:color="auto"/>
          <w:color w:val="auto"/>
        </w:rPr>
        <w:t>Compliance Officer</w:t>
      </w:r>
      <w:r>
        <w:rPr>
          <w:rFonts w:ascii="Times New Roman" w:cs="Times New Roman" w:eastAsia="Times New Roman" w:hAnsi="Times New Roman"/>
          <w:sz w:val="20"/>
          <w:szCs w:val="20"/>
          <w:color w:val="auto"/>
        </w:rPr>
        <w:t>”).</w:t>
      </w:r>
    </w:p>
    <w:p>
      <w:pPr>
        <w:spacing w:after="0" w:line="269" w:lineRule="exact"/>
        <w:rPr>
          <w:sz w:val="20"/>
          <w:szCs w:val="20"/>
          <w:color w:val="auto"/>
        </w:rPr>
      </w:pPr>
    </w:p>
    <w:p>
      <w:pPr>
        <w:jc w:val="both"/>
        <w:ind w:right="100" w:firstLine="648"/>
        <w:spacing w:after="0" w:line="353" w:lineRule="auto"/>
        <w:rPr>
          <w:sz w:val="20"/>
          <w:szCs w:val="20"/>
          <w:color w:val="auto"/>
        </w:rPr>
      </w:pPr>
      <w:r>
        <w:rPr>
          <w:rFonts w:ascii="Times New Roman" w:cs="Times New Roman" w:eastAsia="Times New Roman" w:hAnsi="Times New Roman"/>
          <w:sz w:val="20"/>
          <w:szCs w:val="20"/>
          <w:color w:val="auto"/>
        </w:rPr>
        <w:t>In the absence of the Chief Compliance Officer, responsibility for administering this Policy will rest with the Chief Financial Officer or such other employee as may be designated by the Chief Compliance Officer.</w:t>
      </w:r>
    </w:p>
    <w:p>
      <w:pPr>
        <w:spacing w:after="0" w:line="201" w:lineRule="exact"/>
        <w:rPr>
          <w:sz w:val="20"/>
          <w:szCs w:val="20"/>
          <w:color w:val="auto"/>
        </w:rPr>
      </w:pPr>
    </w:p>
    <w:p>
      <w:pPr>
        <w:jc w:val="both"/>
        <w:ind w:right="100" w:firstLine="648"/>
        <w:spacing w:after="0" w:line="352" w:lineRule="auto"/>
        <w:rPr>
          <w:sz w:val="20"/>
          <w:szCs w:val="20"/>
          <w:color w:val="auto"/>
        </w:rPr>
      </w:pPr>
      <w:r>
        <w:rPr>
          <w:rFonts w:ascii="Times New Roman" w:cs="Times New Roman" w:eastAsia="Times New Roman" w:hAnsi="Times New Roman"/>
          <w:sz w:val="20"/>
          <w:szCs w:val="20"/>
          <w:color w:val="auto"/>
        </w:rPr>
        <w:t>In all cases, Covered Persons bear full responsibility for ensuring their compliance with this Policy, and also for ensuring that members of their household (and individuals not residing in their household but whose transactions are subject to their influence or control) and entities under their influence or control are in compliance with this Policy</w:t>
      </w:r>
    </w:p>
    <w:p>
      <w:pPr>
        <w:spacing w:after="0" w:line="203" w:lineRule="exact"/>
        <w:rPr>
          <w:sz w:val="20"/>
          <w:szCs w:val="20"/>
          <w:color w:val="auto"/>
        </w:rPr>
      </w:pPr>
    </w:p>
    <w:p>
      <w:pPr>
        <w:jc w:val="both"/>
        <w:ind w:right="120" w:firstLine="648"/>
        <w:spacing w:after="0" w:line="367" w:lineRule="auto"/>
        <w:rPr>
          <w:sz w:val="20"/>
          <w:szCs w:val="20"/>
          <w:color w:val="auto"/>
        </w:rPr>
      </w:pPr>
      <w:r>
        <w:rPr>
          <w:rFonts w:ascii="Times New Roman" w:cs="Times New Roman" w:eastAsia="Times New Roman" w:hAnsi="Times New Roman"/>
          <w:sz w:val="20"/>
          <w:szCs w:val="20"/>
          <w:color w:val="auto"/>
        </w:rPr>
        <w:t>Questions regarding the Policy should be directed to the Chief Compliance Officer, who is responsible for the administration of this Policy.</w:t>
      </w:r>
    </w:p>
    <w:p>
      <w:pPr>
        <w:sectPr>
          <w:pgSz w:w="11900" w:h="16838" w:orient="portrait"/>
          <w:cols w:equalWidth="0" w:num="1">
            <w:col w:w="11140"/>
          </w:cols>
          <w:pgMar w:left="420" w:top="104"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Policy Statement</w:t>
      </w:r>
    </w:p>
    <w:p>
      <w:pPr>
        <w:spacing w:after="0" w:line="355" w:lineRule="exact"/>
        <w:rPr>
          <w:sz w:val="20"/>
          <w:szCs w:val="20"/>
          <w:color w:val="auto"/>
        </w:rPr>
      </w:pPr>
    </w:p>
    <w:p>
      <w:pPr>
        <w:jc w:val="both"/>
        <w:ind w:right="100" w:firstLine="648"/>
        <w:spacing w:after="0" w:line="358" w:lineRule="auto"/>
        <w:rPr>
          <w:sz w:val="20"/>
          <w:szCs w:val="20"/>
          <w:color w:val="auto"/>
        </w:rPr>
      </w:pPr>
      <w:r>
        <w:rPr>
          <w:rFonts w:ascii="Times New Roman" w:cs="Times New Roman" w:eastAsia="Times New Roman" w:hAnsi="Times New Roman"/>
          <w:sz w:val="19"/>
          <w:szCs w:val="19"/>
          <w:color w:val="auto"/>
        </w:rPr>
        <w:t>No Covered Person shall purchase or sell any type of security while in possession of material nonpublic information relating to the security or the issuer of such security in breach of a duty of trust or confidence, whether the issuer of such security is the Company or any other company. In addition, if a Covered Person is in possession of material nonpublic information about other publicly-traded companies, such as suppliers, customers, competitors or potential acquisition targets, the Covered Person may not trade in such other companies’ securities until the information becomes public or is no longer material. Further, no Covered Person shall purchase or sell any security of any other company, including another company in the Company’s industry, while in possession of material nonpublic information.</w:t>
      </w:r>
    </w:p>
    <w:p>
      <w:pPr>
        <w:spacing w:after="0" w:line="205" w:lineRule="exact"/>
        <w:rPr>
          <w:sz w:val="20"/>
          <w:szCs w:val="20"/>
          <w:color w:val="auto"/>
        </w:rPr>
      </w:pPr>
    </w:p>
    <w:p>
      <w:pPr>
        <w:jc w:val="both"/>
        <w:ind w:right="120" w:firstLine="648"/>
        <w:spacing w:after="0" w:line="352" w:lineRule="auto"/>
        <w:rPr>
          <w:sz w:val="20"/>
          <w:szCs w:val="20"/>
          <w:color w:val="auto"/>
        </w:rPr>
      </w:pPr>
      <w:r>
        <w:rPr>
          <w:rFonts w:ascii="Times New Roman" w:cs="Times New Roman" w:eastAsia="Times New Roman" w:hAnsi="Times New Roman"/>
          <w:sz w:val="20"/>
          <w:szCs w:val="20"/>
          <w:color w:val="auto"/>
        </w:rPr>
        <w:t>In addition, Covered Persons shall not directly or indirectly communicate material nonpublic information to anyone outside the Company (except in accordance with the Company’s policies regarding confidential information) or to anyone within the Company other than on a “need-to-know” basis.</w:t>
      </w:r>
    </w:p>
    <w:p>
      <w:pPr>
        <w:spacing w:after="0" w:line="199" w:lineRule="exact"/>
        <w:rPr>
          <w:sz w:val="20"/>
          <w:szCs w:val="20"/>
          <w:color w:val="auto"/>
        </w:rPr>
      </w:pPr>
    </w:p>
    <w:p>
      <w:pPr>
        <w:jc w:val="both"/>
        <w:ind w:right="120" w:firstLine="648"/>
        <w:spacing w:after="0" w:line="371"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u w:val="single" w:color="auto"/>
          <w:color w:val="auto"/>
        </w:rPr>
        <w:t>Securities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includes stocks, bonds, notes, debentures, options, warrants, equity and other convertible securities, as well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derivative instruments.</w:t>
      </w:r>
    </w:p>
    <w:p>
      <w:pPr>
        <w:spacing w:after="0" w:line="180" w:lineRule="exact"/>
        <w:rPr>
          <w:sz w:val="20"/>
          <w:szCs w:val="20"/>
          <w:color w:val="auto"/>
        </w:rPr>
      </w:pPr>
    </w:p>
    <w:p>
      <w:pPr>
        <w:jc w:val="both"/>
        <w:ind w:right="100" w:firstLine="648"/>
        <w:spacing w:after="0" w:line="339"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u w:val="single" w:color="auto"/>
          <w:color w:val="auto"/>
        </w:rPr>
        <w:t>Purchase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sale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are defined broadly under the federal securities law.</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Purchase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includes not only the actual purchase of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security, but also any contract to purchase or otherwise acquire a security.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Sale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includes not only the actual sale of a security, but also any contract to sell or otherwise dispose of a security. These definitions extend to a broad range of transactions, including conventional cash-for-stock transactions, conversions, the exercise of stock options, transfers, gifts, and acquisitions and exercises of warrants or puts, calls, pledging and margin loans, or other derivative securities.</w:t>
      </w:r>
    </w:p>
    <w:p>
      <w:pPr>
        <w:spacing w:after="0" w:line="216" w:lineRule="exact"/>
        <w:rPr>
          <w:sz w:val="20"/>
          <w:szCs w:val="20"/>
          <w:color w:val="auto"/>
        </w:rPr>
      </w:pPr>
    </w:p>
    <w:p>
      <w:pPr>
        <w:jc w:val="both"/>
        <w:ind w:right="120" w:firstLine="648"/>
        <w:spacing w:after="0" w:line="353" w:lineRule="auto"/>
        <w:rPr>
          <w:sz w:val="20"/>
          <w:szCs w:val="20"/>
          <w:color w:val="auto"/>
        </w:rPr>
      </w:pPr>
      <w:r>
        <w:rPr>
          <w:rFonts w:ascii="Times New Roman" w:cs="Times New Roman" w:eastAsia="Times New Roman" w:hAnsi="Times New Roman"/>
          <w:sz w:val="20"/>
          <w:szCs w:val="20"/>
          <w:color w:val="auto"/>
        </w:rPr>
        <w:t>The laws and regulations concerning insider trading are complex, and Covered Persons are encouraged to seek guidance from the Chief Compliance Officer prior to considering a transaction in Company securities.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Blackout Periods</w:t>
      </w:r>
    </w:p>
    <w:p>
      <w:pPr>
        <w:spacing w:after="0" w:line="355" w:lineRule="exact"/>
        <w:rPr>
          <w:sz w:val="20"/>
          <w:szCs w:val="20"/>
          <w:color w:val="auto"/>
        </w:rPr>
      </w:pPr>
    </w:p>
    <w:p>
      <w:pPr>
        <w:jc w:val="both"/>
        <w:ind w:right="100" w:firstLine="648"/>
        <w:spacing w:after="0" w:line="336" w:lineRule="auto"/>
        <w:rPr>
          <w:sz w:val="20"/>
          <w:szCs w:val="20"/>
          <w:color w:val="auto"/>
        </w:rPr>
      </w:pPr>
      <w:r>
        <w:rPr>
          <w:rFonts w:ascii="Times New Roman" w:cs="Times New Roman" w:eastAsia="Times New Roman" w:hAnsi="Times New Roman"/>
          <w:sz w:val="20"/>
          <w:szCs w:val="20"/>
          <w:color w:val="auto"/>
        </w:rPr>
        <w:t xml:space="preserve">No director, officer or employee listed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as amended from time to time, (as well as any individual or entity covered by this Policy by virtue of their relationship to such director, officer or employee) shall purchase or sell any security of the Company during the period beginning on the 14th calendar day before the end of any fiscal quarter of the Company and ending after completion of the second full trading day after the public release of earnings data for such fiscal quarter or during any other trading suspension period declared by the Company, such period, a “</w:t>
      </w:r>
      <w:r>
        <w:rPr>
          <w:rFonts w:ascii="Times New Roman" w:cs="Times New Roman" w:eastAsia="Times New Roman" w:hAnsi="Times New Roman"/>
          <w:sz w:val="20"/>
          <w:szCs w:val="20"/>
          <w:u w:val="single" w:color="auto"/>
          <w:color w:val="auto"/>
        </w:rPr>
        <w:t>blackout period</w:t>
      </w:r>
      <w:r>
        <w:rPr>
          <w:rFonts w:ascii="Times New Roman" w:cs="Times New Roman" w:eastAsia="Times New Roman" w:hAnsi="Times New Roman"/>
          <w:sz w:val="20"/>
          <w:szCs w:val="20"/>
          <w:color w:val="auto"/>
        </w:rPr>
        <w:t xml:space="preserve">.” A “trading day” is a day on which U.S. national stock exchanges are open for trading. If, for example, the Company were to make an announcement on Monday </w:t>
      </w:r>
      <w:r>
        <w:rPr>
          <w:rFonts w:ascii="Times New Roman" w:cs="Times New Roman" w:eastAsia="Times New Roman" w:hAnsi="Times New Roman"/>
          <w:sz w:val="20"/>
          <w:szCs w:val="20"/>
          <w:i w:val="1"/>
          <w:iCs w:val="1"/>
          <w:color w:val="auto"/>
        </w:rPr>
        <w:t>prior</w:t>
      </w:r>
      <w:r>
        <w:rPr>
          <w:rFonts w:ascii="Times New Roman" w:cs="Times New Roman" w:eastAsia="Times New Roman" w:hAnsi="Times New Roman"/>
          <w:sz w:val="20"/>
          <w:szCs w:val="20"/>
          <w:color w:val="auto"/>
        </w:rPr>
        <w:t xml:space="preserve"> to 9:30 a.m. Eastern Time, then the blackout period would terminate </w:t>
      </w:r>
      <w:r>
        <w:rPr>
          <w:rFonts w:ascii="Times New Roman" w:cs="Times New Roman" w:eastAsia="Times New Roman" w:hAnsi="Times New Roman"/>
          <w:sz w:val="20"/>
          <w:szCs w:val="20"/>
          <w:i w:val="1"/>
          <w:iCs w:val="1"/>
          <w:color w:val="auto"/>
        </w:rPr>
        <w:t>after</w:t>
      </w:r>
      <w:r>
        <w:rPr>
          <w:rFonts w:ascii="Times New Roman" w:cs="Times New Roman" w:eastAsia="Times New Roman" w:hAnsi="Times New Roman"/>
          <w:sz w:val="20"/>
          <w:szCs w:val="20"/>
          <w:color w:val="auto"/>
        </w:rPr>
        <w:t xml:space="preserve"> the close of trading on Tuesday. If an announcement were made on Monday after 9:30 a.m. Eastern Time, then the blackout period would terminate after the close of trading on Wednesday. If you have any question as to whether information is publicly available, please direct an inquiry to the Chief Compliance Officer.</w:t>
      </w:r>
    </w:p>
    <w:p>
      <w:pPr>
        <w:sectPr>
          <w:pgSz w:w="11900" w:h="16838" w:orient="portrait"/>
          <w:cols w:equalWidth="0" w:num="1">
            <w:col w:w="11140"/>
          </w:cols>
          <w:pgMar w:left="420" w:top="104"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These prohibitions do not apply to:</w:t>
      </w:r>
    </w:p>
    <w:p>
      <w:pPr>
        <w:spacing w:after="0" w:line="94" w:lineRule="exact"/>
        <w:rPr>
          <w:sz w:val="20"/>
          <w:szCs w:val="20"/>
          <w:color w:val="auto"/>
        </w:rPr>
      </w:pPr>
    </w:p>
    <w:p>
      <w:pPr>
        <w:ind w:left="1280" w:hanging="634"/>
        <w:spacing w:after="0"/>
        <w:tabs>
          <w:tab w:leader="none" w:pos="12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the Company’s securities from the Company, or sales of the Company’s securities to the Company;</w:t>
      </w:r>
    </w:p>
    <w:p>
      <w:pPr>
        <w:spacing w:after="0" w:line="337" w:lineRule="exact"/>
        <w:rPr>
          <w:rFonts w:ascii="Times New Roman" w:cs="Times New Roman" w:eastAsia="Times New Roman" w:hAnsi="Times New Roman"/>
          <w:sz w:val="20"/>
          <w:szCs w:val="20"/>
          <w:color w:val="auto"/>
        </w:rPr>
      </w:pPr>
    </w:p>
    <w:p>
      <w:pPr>
        <w:jc w:val="both"/>
        <w:ind w:left="1300" w:right="100" w:hanging="654"/>
        <w:spacing w:after="0" w:line="341" w:lineRule="auto"/>
        <w:tabs>
          <w:tab w:leader="none" w:pos="128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exercises of stock options or other equity awards or the surrender of shares to the Company in payment of the exercise price or in satisfaction of any tax withholding obligations in a manner permitted by the applicable equity award agreement, or vesting of equity-based awards, in each case, that do not involve a market sale of the Company’s securities (the “cashless exercise” of a Company stock option or other equity award through a broker does involve a market sale of the Company’s securities, and therefore would not qualify under this exception);</w:t>
      </w:r>
    </w:p>
    <w:p>
      <w:pPr>
        <w:spacing w:after="0" w:line="211" w:lineRule="exact"/>
        <w:rPr>
          <w:rFonts w:ascii="Times New Roman" w:cs="Times New Roman" w:eastAsia="Times New Roman" w:hAnsi="Times New Roman"/>
          <w:sz w:val="20"/>
          <w:szCs w:val="20"/>
          <w:color w:val="auto"/>
        </w:rPr>
      </w:pPr>
    </w:p>
    <w:p>
      <w:pPr>
        <w:jc w:val="both"/>
        <w:ind w:left="1300" w:right="120" w:hanging="654"/>
        <w:spacing w:after="0" w:line="347" w:lineRule="auto"/>
        <w:tabs>
          <w:tab w:leader="none" w:pos="128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bona fide </w:t>
      </w:r>
      <w:r>
        <w:rPr>
          <w:rFonts w:ascii="Times New Roman" w:cs="Times New Roman" w:eastAsia="Times New Roman" w:hAnsi="Times New Roman"/>
          <w:sz w:val="20"/>
          <w:szCs w:val="20"/>
          <w:color w:val="auto"/>
        </w:rPr>
        <w:t>gifts of the Company’s securities, unless the individual making the gift knows, or is reckless in not knowing,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recipient intends to sell the securities while the donor is in possession of material nonpublic information about the Company; or</w:t>
      </w:r>
    </w:p>
    <w:p>
      <w:pPr>
        <w:spacing w:after="0" w:line="207" w:lineRule="exact"/>
        <w:rPr>
          <w:rFonts w:ascii="Times New Roman" w:cs="Times New Roman" w:eastAsia="Times New Roman" w:hAnsi="Times New Roman"/>
          <w:sz w:val="20"/>
          <w:szCs w:val="20"/>
          <w:color w:val="auto"/>
        </w:rPr>
      </w:pPr>
    </w:p>
    <w:p>
      <w:pPr>
        <w:ind w:left="1300" w:right="120" w:hanging="654"/>
        <w:spacing w:after="0" w:line="353" w:lineRule="auto"/>
        <w:tabs>
          <w:tab w:leader="none" w:pos="128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or sales of the Company’s securities made pursuant to a plan adopted to comply with the Exchange Act Rule 10b5-1 (“</w:t>
      </w:r>
      <w:r>
        <w:rPr>
          <w:rFonts w:ascii="Times New Roman" w:cs="Times New Roman" w:eastAsia="Times New Roman" w:hAnsi="Times New Roman"/>
          <w:sz w:val="20"/>
          <w:szCs w:val="20"/>
          <w:u w:val="single" w:color="auto"/>
          <w:color w:val="auto"/>
        </w:rPr>
        <w:t>Rule 10b5-1</w:t>
      </w:r>
      <w:r>
        <w:rPr>
          <w:rFonts w:ascii="Times New Roman" w:cs="Times New Roman" w:eastAsia="Times New Roman" w:hAnsi="Times New Roman"/>
          <w:sz w:val="20"/>
          <w:szCs w:val="20"/>
          <w:color w:val="auto"/>
        </w:rPr>
        <w:t>”).</w:t>
      </w:r>
    </w:p>
    <w:p>
      <w:pPr>
        <w:spacing w:after="0" w:line="282" w:lineRule="exact"/>
        <w:rPr>
          <w:sz w:val="20"/>
          <w:szCs w:val="20"/>
          <w:color w:val="auto"/>
        </w:rPr>
      </w:pPr>
    </w:p>
    <w:p>
      <w:pPr>
        <w:jc w:val="both"/>
        <w:ind w:right="120" w:firstLine="648"/>
        <w:spacing w:after="0" w:line="367" w:lineRule="auto"/>
        <w:rPr>
          <w:sz w:val="20"/>
          <w:szCs w:val="20"/>
          <w:color w:val="auto"/>
        </w:rPr>
      </w:pPr>
      <w:r>
        <w:rPr>
          <w:rFonts w:ascii="Times New Roman" w:cs="Times New Roman" w:eastAsia="Times New Roman" w:hAnsi="Times New Roman"/>
          <w:sz w:val="20"/>
          <w:szCs w:val="20"/>
          <w:color w:val="auto"/>
        </w:rPr>
        <w:t>Exceptions to the blackout period policy may be approved only by the Chief Compliance Officer or Chief Financial Officer or, in the case of exceptions for directors, the Board of Directors or Audit Committee of the Board of Directors.</w:t>
      </w:r>
    </w:p>
    <w:p>
      <w:pPr>
        <w:spacing w:after="0" w:line="188" w:lineRule="exact"/>
        <w:rPr>
          <w:sz w:val="20"/>
          <w:szCs w:val="20"/>
          <w:color w:val="auto"/>
        </w:rPr>
      </w:pPr>
    </w:p>
    <w:p>
      <w:pPr>
        <w:jc w:val="both"/>
        <w:ind w:right="100" w:firstLine="648"/>
        <w:spacing w:after="0" w:line="336" w:lineRule="auto"/>
        <w:rPr>
          <w:sz w:val="20"/>
          <w:szCs w:val="20"/>
          <w:color w:val="auto"/>
        </w:rPr>
      </w:pPr>
      <w:r>
        <w:rPr>
          <w:rFonts w:ascii="Times New Roman" w:cs="Times New Roman" w:eastAsia="Times New Roman" w:hAnsi="Times New Roman"/>
          <w:sz w:val="20"/>
          <w:szCs w:val="20"/>
          <w:color w:val="auto"/>
        </w:rPr>
        <w:t>From time to time, events will occur that are material to the Company and cause certain officers, directors, or employees to be in possession of material nonpublic information. When that happens, the Company, through the Board of Directors, the Company’s the General Counsel or Chief Financial Officer, will recommend that directors, officers, employees or others in possession of the material nonpublic information suspend trading in Company securities until the information is no longer material or has been publicly disclosed. Subject to the exceptions noted above, when such event-specific blackout periods occur, those subject to it will be notified by the Company. The event-specific blackout period will not be announced to those not subject to it, and those subject to it or otherwise aware of it should not disclose it to others.</w:t>
      </w:r>
    </w:p>
    <w:p>
      <w:pPr>
        <w:spacing w:after="0" w:line="217" w:lineRule="exact"/>
        <w:rPr>
          <w:sz w:val="20"/>
          <w:szCs w:val="20"/>
          <w:color w:val="auto"/>
        </w:rPr>
      </w:pPr>
    </w:p>
    <w:p>
      <w:pPr>
        <w:jc w:val="both"/>
        <w:ind w:right="120" w:firstLine="648"/>
        <w:spacing w:after="0" w:line="343" w:lineRule="auto"/>
        <w:rPr>
          <w:sz w:val="20"/>
          <w:szCs w:val="20"/>
          <w:color w:val="auto"/>
        </w:rPr>
      </w:pPr>
      <w:r>
        <w:rPr>
          <w:rFonts w:ascii="Times New Roman" w:cs="Times New Roman" w:eastAsia="Times New Roman" w:hAnsi="Times New Roman"/>
          <w:sz w:val="20"/>
          <w:szCs w:val="20"/>
          <w:color w:val="auto"/>
        </w:rPr>
        <w:t>Even if the Company has not notified you that you are subject to an event-specific blackout period, if you are aware of material nonpublic information about the Company, you should not trade in Company securities. Any failure by the Company to designate you as subject to an event-specific blackout period, or to notify you of such designation, does not relieve you of your obligation not to trade in the Company’s securities while possessing material nonpublic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Preclearance of Trades by Directors, Officers and Certain Employees</w:t>
      </w:r>
    </w:p>
    <w:p>
      <w:pPr>
        <w:sectPr>
          <w:pgSz w:w="11900" w:h="16838" w:orient="portrait"/>
          <w:cols w:equalWidth="0" w:num="1">
            <w:col w:w="11140"/>
          </w:cols>
          <w:pgMar w:left="420" w:top="104"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120" w:firstLine="648"/>
        <w:spacing w:after="0" w:line="343" w:lineRule="auto"/>
        <w:rPr>
          <w:sz w:val="20"/>
          <w:szCs w:val="20"/>
          <w:color w:val="auto"/>
        </w:rPr>
      </w:pPr>
      <w:r>
        <w:rPr>
          <w:rFonts w:ascii="Times New Roman" w:cs="Times New Roman" w:eastAsia="Times New Roman" w:hAnsi="Times New Roman"/>
          <w:sz w:val="20"/>
          <w:szCs w:val="20"/>
          <w:color w:val="auto"/>
        </w:rPr>
        <w:t xml:space="preserve">All transactions in the Company’s securities by directors, officers, and employees listed on </w:t>
      </w:r>
      <w:r>
        <w:rPr>
          <w:rFonts w:ascii="Times New Roman" w:cs="Times New Roman" w:eastAsia="Times New Roman" w:hAnsi="Times New Roman"/>
          <w:sz w:val="20"/>
          <w:szCs w:val="20"/>
          <w:u w:val="single" w:color="auto"/>
          <w:color w:val="auto"/>
        </w:rPr>
        <w:t>Schedule II</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u w:val="single" w:color="auto"/>
          <w:color w:val="auto"/>
        </w:rPr>
        <w:t>Preclearance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must be precleared by the Chief Compliance Officer, or the Chief Financial Officer for transactions by the Chief Compliance Officer. Preclearance should not be understood to represent legal advice by the Company that a proposed transaction complies with the law.</w:t>
      </w:r>
    </w:p>
    <w:p>
      <w:pPr>
        <w:spacing w:after="0" w:line="49" w:lineRule="exact"/>
        <w:rPr>
          <w:sz w:val="20"/>
          <w:szCs w:val="20"/>
          <w:color w:val="auto"/>
        </w:rPr>
      </w:pPr>
    </w:p>
    <w:p>
      <w:pPr>
        <w:jc w:val="both"/>
        <w:ind w:right="100" w:firstLine="648"/>
        <w:spacing w:after="0" w:line="334" w:lineRule="auto"/>
        <w:rPr>
          <w:sz w:val="20"/>
          <w:szCs w:val="20"/>
          <w:color w:val="auto"/>
        </w:rPr>
      </w:pPr>
      <w:r>
        <w:rPr>
          <w:rFonts w:ascii="Times New Roman" w:cs="Times New Roman" w:eastAsia="Times New Roman" w:hAnsi="Times New Roman"/>
          <w:sz w:val="20"/>
          <w:szCs w:val="20"/>
          <w:color w:val="auto"/>
        </w:rPr>
        <w:t>A request for preclearance must be in writing (including by e-mail), should be made at least two business days in advance of the proposed transaction, and should include the identity of the Preclearance Person, a description of the proposed transaction, the proposed date of the transaction, and the number of shares or other securities involved. In addition, the Preclearance Person must execute a certification (in the form approved by the General Counsel or Chief Financial Officer) that he or she is not aware of material nonpublic information about the Company. The Chief Compliance Officer, or the Chief Financial Officer for transactions by the Chief Compliance Officer, shall have sole discretion to decide whether to clear any contemplated transaction. The Chief Executive Officer shall have sole discretion to decide whether to clear transactions by the General Counsel or Chief Financial Officer or persons or entities subject to this policy as a result of their relationship with the General Counsel or Chief Financial Officer. All trades that are precleared must be effected within two business days of receipt of the preclearance, unless a specific exception has been granted by the General Counsel or Chief Financial Officer. A precleared trade (or any portion of a precleared trade) that has not been effected during the two business day period must be submitted for preclearance determination again prior to execution. Notwithstanding receipt of preclearance, if the Preclearance Person becomes aware of material nonpublic information, or becomes subject to a blackout period before the transaction is effected, the transaction may not be completed. Transactions under a previously established Rule 10b5-1 Trading Plan that has been preapproved in accordance with this Policy are not subject to further preclearance.</w:t>
      </w:r>
    </w:p>
    <w:p>
      <w:pPr>
        <w:spacing w:after="0" w:line="231" w:lineRule="exact"/>
        <w:rPr>
          <w:sz w:val="20"/>
          <w:szCs w:val="20"/>
          <w:color w:val="auto"/>
        </w:rPr>
      </w:pPr>
    </w:p>
    <w:p>
      <w:pPr>
        <w:jc w:val="both"/>
        <w:ind w:right="120" w:firstLine="648"/>
        <w:spacing w:after="0" w:line="367" w:lineRule="auto"/>
        <w:rPr>
          <w:sz w:val="20"/>
          <w:szCs w:val="20"/>
          <w:color w:val="auto"/>
        </w:rPr>
      </w:pPr>
      <w:r>
        <w:rPr>
          <w:rFonts w:ascii="Times New Roman" w:cs="Times New Roman" w:eastAsia="Times New Roman" w:hAnsi="Times New Roman"/>
          <w:sz w:val="20"/>
          <w:szCs w:val="20"/>
          <w:color w:val="auto"/>
        </w:rPr>
        <w:t>None of the Company, the Chief Compliance Officer, the Chief Financial Officer or the Company’s other employees will have any liability for any delay in reviewing, or refusal of, a request for preclearance.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Material Nonpublic Information</w:t>
      </w:r>
    </w:p>
    <w:p>
      <w:pPr>
        <w:spacing w:after="0" w:line="355" w:lineRule="exact"/>
        <w:rPr>
          <w:sz w:val="20"/>
          <w:szCs w:val="20"/>
          <w:color w:val="auto"/>
        </w:rPr>
      </w:pPr>
    </w:p>
    <w:p>
      <w:pPr>
        <w:jc w:val="both"/>
        <w:ind w:right="100" w:firstLine="648"/>
        <w:spacing w:after="0" w:line="338" w:lineRule="auto"/>
        <w:rPr>
          <w:sz w:val="20"/>
          <w:szCs w:val="20"/>
          <w:color w:val="auto"/>
        </w:rPr>
      </w:pPr>
      <w:r>
        <w:rPr>
          <w:rFonts w:ascii="Times New Roman" w:cs="Times New Roman" w:eastAsia="Times New Roman" w:hAnsi="Times New Roman"/>
          <w:sz w:val="20"/>
          <w:szCs w:val="20"/>
          <w:color w:val="auto"/>
        </w:rPr>
        <w:t>Information is considered “</w:t>
      </w:r>
      <w:r>
        <w:rPr>
          <w:rFonts w:ascii="Times New Roman" w:cs="Times New Roman" w:eastAsia="Times New Roman" w:hAnsi="Times New Roman"/>
          <w:sz w:val="20"/>
          <w:szCs w:val="20"/>
          <w:u w:val="single" w:color="auto"/>
          <w:color w:val="auto"/>
        </w:rPr>
        <w:t>material</w:t>
      </w:r>
      <w:r>
        <w:rPr>
          <w:rFonts w:ascii="Times New Roman" w:cs="Times New Roman" w:eastAsia="Times New Roman" w:hAnsi="Times New Roman"/>
          <w:sz w:val="20"/>
          <w:szCs w:val="20"/>
          <w:color w:val="auto"/>
        </w:rPr>
        <w:t>” 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debt, or equity. Also, information that something is likely to happen in the future—or even just that it may happen—could be deemed material.</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Examples of material information may include (but are not limited to) information about:</w:t>
      </w:r>
    </w:p>
    <w:p>
      <w:pPr>
        <w:spacing w:after="0" w:line="216" w:lineRule="exact"/>
        <w:rPr>
          <w:sz w:val="20"/>
          <w:szCs w:val="20"/>
          <w:color w:val="auto"/>
        </w:rPr>
      </w:pPr>
    </w:p>
    <w:p>
      <w:pPr>
        <w:ind w:left="960" w:hanging="314"/>
        <w:spacing w:after="0"/>
        <w:tabs>
          <w:tab w:leader="none" w:pos="9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earnings or earnings forecasts;</w:t>
      </w:r>
    </w:p>
    <w:p>
      <w:pPr>
        <w:spacing w:after="0" w:line="107"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possible mergers, acquisitions, tender offers, joint ventures or dispositions;</w:t>
      </w:r>
    </w:p>
    <w:p>
      <w:pPr>
        <w:spacing w:after="0" w:line="121"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new products or product developments;</w:t>
      </w:r>
    </w:p>
    <w:p>
      <w:pPr>
        <w:spacing w:after="0" w:line="121"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important business developments, such as developments regarding strategic partners;</w:t>
      </w:r>
    </w:p>
    <w:p>
      <w:pPr>
        <w:spacing w:after="0" w:line="121"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or control changes;</w:t>
      </w:r>
    </w:p>
    <w:p>
      <w:pPr>
        <w:sectPr>
          <w:pgSz w:w="11900" w:h="16838" w:orient="portrait"/>
          <w:cols w:equalWidth="0" w:num="1">
            <w:col w:w="11140"/>
          </w:cols>
          <w:pgMar w:left="420" w:top="104"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60" w:hanging="314"/>
        <w:spacing w:after="0"/>
        <w:tabs>
          <w:tab w:leader="none" w:pos="9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financing developments including pending public sales or offerings of debt or equity securities;</w:t>
      </w:r>
    </w:p>
    <w:p>
      <w:pPr>
        <w:spacing w:after="0" w:line="134"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defaults on borrowings;</w:t>
      </w:r>
    </w:p>
    <w:p>
      <w:pPr>
        <w:spacing w:after="0" w:line="80"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bankruptcies;</w:t>
      </w:r>
    </w:p>
    <w:p>
      <w:pPr>
        <w:spacing w:after="0" w:line="121"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or data security incidents; and</w:t>
      </w:r>
    </w:p>
    <w:p>
      <w:pPr>
        <w:spacing w:after="0" w:line="121"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litigation or regulatory actions.</w:t>
      </w:r>
    </w:p>
    <w:p>
      <w:pPr>
        <w:spacing w:after="0" w:line="270" w:lineRule="exact"/>
        <w:rPr>
          <w:sz w:val="20"/>
          <w:szCs w:val="20"/>
          <w:color w:val="auto"/>
        </w:rPr>
      </w:pPr>
    </w:p>
    <w:p>
      <w:pPr>
        <w:jc w:val="both"/>
        <w:ind w:right="120" w:firstLine="648"/>
        <w:spacing w:after="0" w:line="343" w:lineRule="auto"/>
        <w:rPr>
          <w:sz w:val="20"/>
          <w:szCs w:val="20"/>
          <w:color w:val="auto"/>
        </w:rPr>
      </w:pPr>
      <w:r>
        <w:rPr>
          <w:rFonts w:ascii="Times New Roman" w:cs="Times New Roman" w:eastAsia="Times New Roman" w:hAnsi="Times New Roman"/>
          <w:sz w:val="20"/>
          <w:szCs w:val="20"/>
          <w:color w:val="auto"/>
        </w:rPr>
        <w:t>Information is “</w:t>
      </w:r>
      <w:r>
        <w:rPr>
          <w:rFonts w:ascii="Times New Roman" w:cs="Times New Roman" w:eastAsia="Times New Roman" w:hAnsi="Times New Roman"/>
          <w:sz w:val="20"/>
          <w:szCs w:val="20"/>
          <w:u w:val="single" w:color="auto"/>
          <w:color w:val="auto"/>
        </w:rPr>
        <w:t>nonpublic</w:t>
      </w:r>
      <w:r>
        <w:rPr>
          <w:rFonts w:ascii="Times New Roman" w:cs="Times New Roman" w:eastAsia="Times New Roman" w:hAnsi="Times New Roman"/>
          <w:sz w:val="20"/>
          <w:szCs w:val="20"/>
          <w:color w:val="auto"/>
        </w:rPr>
        <w:t>” if it is not available to the general public. In order for information to be considered “</w:t>
      </w:r>
      <w:r>
        <w:rPr>
          <w:rFonts w:ascii="Times New Roman" w:cs="Times New Roman" w:eastAsia="Times New Roman" w:hAnsi="Times New Roman"/>
          <w:sz w:val="20"/>
          <w:szCs w:val="20"/>
          <w:u w:val="single" w:color="auto"/>
          <w:color w:val="auto"/>
        </w:rPr>
        <w:t>public</w:t>
      </w:r>
      <w:r>
        <w:rPr>
          <w:rFonts w:ascii="Times New Roman" w:cs="Times New Roman" w:eastAsia="Times New Roman" w:hAnsi="Times New Roman"/>
          <w:sz w:val="20"/>
          <w:szCs w:val="20"/>
          <w:color w:val="auto"/>
        </w:rPr>
        <w:t>,” it must be widely disseminated in a manner that makes it generally available to investors in a Regulation FD-compliant method, such as through a press release, a filing with the U.S.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or a Regulation FD-compliant conference call. The Chief Compliance Officer shall have sole discretion to decide whether information is public for purposes of this Policy.</w:t>
      </w:r>
    </w:p>
    <w:p>
      <w:pPr>
        <w:spacing w:after="0" w:line="211" w:lineRule="exact"/>
        <w:rPr>
          <w:sz w:val="20"/>
          <w:szCs w:val="20"/>
          <w:color w:val="auto"/>
        </w:rPr>
      </w:pPr>
    </w:p>
    <w:p>
      <w:pPr>
        <w:jc w:val="both"/>
        <w:ind w:right="100" w:firstLine="648"/>
        <w:spacing w:after="0" w:line="343" w:lineRule="auto"/>
        <w:rPr>
          <w:sz w:val="20"/>
          <w:szCs w:val="20"/>
          <w:color w:val="auto"/>
        </w:rPr>
      </w:pPr>
      <w:r>
        <w:rPr>
          <w:rFonts w:ascii="Times New Roman" w:cs="Times New Roman" w:eastAsia="Times New Roman" w:hAnsi="Times New Roman"/>
          <w:sz w:val="20"/>
          <w:szCs w:val="20"/>
          <w:color w:val="auto"/>
        </w:rPr>
        <w:t>The circulation of rumors, even if accurate and reported in the media, does not constitute public dissemination. In addition, even after a public announcement, a reasonable period of time may need to lapse in order for the market to react to the information. Generally, the passage of at least two full trading days following release of the information to the public, is a reasonable waiting period before such information is deemed to be public.</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Post-Termination Transactions</w:t>
      </w:r>
    </w:p>
    <w:p>
      <w:pPr>
        <w:spacing w:after="0" w:line="355" w:lineRule="exact"/>
        <w:rPr>
          <w:sz w:val="20"/>
          <w:szCs w:val="20"/>
          <w:color w:val="auto"/>
        </w:rPr>
      </w:pPr>
    </w:p>
    <w:p>
      <w:pPr>
        <w:jc w:val="both"/>
        <w:ind w:right="100" w:firstLine="648"/>
        <w:spacing w:after="0" w:line="367" w:lineRule="auto"/>
        <w:rPr>
          <w:sz w:val="20"/>
          <w:szCs w:val="20"/>
          <w:color w:val="auto"/>
        </w:rPr>
      </w:pPr>
      <w:r>
        <w:rPr>
          <w:rFonts w:ascii="Times New Roman" w:cs="Times New Roman" w:eastAsia="Times New Roman" w:hAnsi="Times New Roman"/>
          <w:sz w:val="20"/>
          <w:szCs w:val="20"/>
          <w:color w:val="auto"/>
        </w:rPr>
        <w:t>If an individual is in possession of material nonpublic information when the individual’s service terminates, the individual may not trade in the Company’s securities until that information has become public or is no longer material.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Prohibited Transactions</w:t>
      </w:r>
    </w:p>
    <w:p>
      <w:pPr>
        <w:spacing w:after="0" w:line="355" w:lineRule="exact"/>
        <w:rPr>
          <w:sz w:val="20"/>
          <w:szCs w:val="20"/>
          <w:color w:val="auto"/>
        </w:rPr>
      </w:pPr>
    </w:p>
    <w:p>
      <w:pPr>
        <w:jc w:val="both"/>
        <w:ind w:right="100" w:firstLine="648"/>
        <w:spacing w:after="0" w:line="345" w:lineRule="auto"/>
        <w:rPr>
          <w:sz w:val="20"/>
          <w:szCs w:val="20"/>
          <w:color w:val="auto"/>
        </w:rPr>
      </w:pPr>
      <w:r>
        <w:rPr>
          <w:rFonts w:ascii="Times New Roman" w:cs="Times New Roman" w:eastAsia="Times New Roman" w:hAnsi="Times New Roman"/>
          <w:sz w:val="20"/>
          <w:szCs w:val="20"/>
          <w:color w:val="auto"/>
        </w:rPr>
        <w:t>The Company has determined that there is a heightened legal risk and the appearance of improper or inappropriate conduct if persons subject to this Policy engage in certain types of transactions. Therefore, Covered Persons shall comply with the following policies with respect to certain transactions in the Company’s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Short Sales</w:t>
      </w:r>
    </w:p>
    <w:p>
      <w:pPr>
        <w:spacing w:after="0" w:line="274" w:lineRule="exact"/>
        <w:rPr>
          <w:sz w:val="20"/>
          <w:szCs w:val="20"/>
          <w:color w:val="auto"/>
        </w:rPr>
      </w:pPr>
    </w:p>
    <w:p>
      <w:pPr>
        <w:jc w:val="both"/>
        <w:ind w:right="100" w:firstLine="648"/>
        <w:spacing w:after="0" w:line="338" w:lineRule="auto"/>
        <w:rPr>
          <w:sz w:val="20"/>
          <w:szCs w:val="20"/>
          <w:color w:val="auto"/>
        </w:rPr>
      </w:pPr>
      <w:r>
        <w:rPr>
          <w:rFonts w:ascii="Times New Roman" w:cs="Times New Roman" w:eastAsia="Times New Roman" w:hAnsi="Times New Roman"/>
          <w:sz w:val="20"/>
          <w:szCs w:val="20"/>
          <w:color w:val="auto"/>
        </w:rPr>
        <w:t>Short sales of the Company’s securities are prohibited by this Policy. Short sales of the Company’s securities, or sales of shares that the insider does not own at the time of sale, or sales of shares against which the insider does not deliver the shares within 20 days after the sale, evidence an expectation on the part of the seller that the securities will decline in value, and, therefore, signal to the market that the seller has no confidence in the Company or its short-term prospects. In addition, Section 16(c) of the Exchange Act prohibits Section 16 reporting persons (i.e., directors, officers, and the Company’s 10% stockholders) from making short sales of the Company’s equity securities.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Options</w:t>
      </w:r>
    </w:p>
    <w:p>
      <w:pPr>
        <w:spacing w:after="0" w:line="274" w:lineRule="exact"/>
        <w:rPr>
          <w:sz w:val="20"/>
          <w:szCs w:val="20"/>
          <w:color w:val="auto"/>
        </w:rPr>
      </w:pPr>
    </w:p>
    <w:p>
      <w:pPr>
        <w:jc w:val="both"/>
        <w:ind w:right="120" w:firstLine="648"/>
        <w:spacing w:after="0" w:line="352" w:lineRule="auto"/>
        <w:rPr>
          <w:sz w:val="20"/>
          <w:szCs w:val="20"/>
          <w:color w:val="auto"/>
        </w:rPr>
      </w:pPr>
      <w:r>
        <w:rPr>
          <w:rFonts w:ascii="Times New Roman" w:cs="Times New Roman" w:eastAsia="Times New Roman" w:hAnsi="Times New Roman"/>
          <w:sz w:val="20"/>
          <w:szCs w:val="20"/>
          <w:color w:val="auto"/>
        </w:rPr>
        <w:t>Transactions in puts, calls, or other derivative securities involving the Company’s equity securities, on an exchange, on an over-the-counter market, or in any other organized market, are prohibited by this Policy. A transaction in options is, in effect, a bet on the short-term movement of the Company’s stock and, therefore, creates the appearance</w:t>
      </w:r>
    </w:p>
    <w:p>
      <w:pPr>
        <w:sectPr>
          <w:pgSz w:w="11900" w:h="16838" w:orient="portrait"/>
          <w:cols w:equalWidth="0" w:num="1">
            <w:col w:w="11140"/>
          </w:cols>
          <w:pgMar w:left="420" w:top="104"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right="100"/>
        <w:spacing w:after="0" w:line="345" w:lineRule="auto"/>
        <w:rPr>
          <w:sz w:val="20"/>
          <w:szCs w:val="20"/>
          <w:color w:val="auto"/>
        </w:rPr>
      </w:pPr>
      <w:r>
        <w:rPr>
          <w:rFonts w:ascii="Times New Roman" w:cs="Times New Roman" w:eastAsia="Times New Roman" w:hAnsi="Times New Roman"/>
          <w:sz w:val="20"/>
          <w:szCs w:val="20"/>
          <w:color w:val="auto"/>
        </w:rPr>
        <w:t>that a Covered Person is trading based on material nonpublic information. Transactions in options, whether traded on an exchange, on an over-the-counter market, or any other organized market, also may focus a Covered Person’s attention on short-term performance at the expense of the Company’s long-term objectives.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Hedging Transactions</w:t>
      </w:r>
    </w:p>
    <w:p>
      <w:pPr>
        <w:spacing w:after="0" w:line="260" w:lineRule="exact"/>
        <w:rPr>
          <w:sz w:val="20"/>
          <w:szCs w:val="20"/>
          <w:color w:val="auto"/>
        </w:rPr>
      </w:pPr>
    </w:p>
    <w:p>
      <w:pPr>
        <w:jc w:val="both"/>
        <w:ind w:right="100" w:firstLine="648"/>
        <w:spacing w:after="0" w:line="341" w:lineRule="auto"/>
        <w:rPr>
          <w:sz w:val="20"/>
          <w:szCs w:val="20"/>
          <w:color w:val="auto"/>
        </w:rPr>
      </w:pPr>
      <w:r>
        <w:rPr>
          <w:rFonts w:ascii="Times New Roman" w:cs="Times New Roman" w:eastAsia="Times New Roman" w:hAnsi="Times New Roman"/>
          <w:sz w:val="20"/>
          <w:szCs w:val="20"/>
          <w:color w:val="auto"/>
        </w:rPr>
        <w:t>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this Policy. Such transactions allow the Covered Person to continue to own the covered securities, but without the full risks and rewards of ownership. When that occurs, the Covered Person may no longer have the same objectives as the Company’s other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Margin Accounts and Pledging</w:t>
      </w:r>
    </w:p>
    <w:p>
      <w:pPr>
        <w:spacing w:after="0" w:line="260" w:lineRule="exact"/>
        <w:rPr>
          <w:sz w:val="20"/>
          <w:szCs w:val="20"/>
          <w:color w:val="auto"/>
        </w:rPr>
      </w:pPr>
    </w:p>
    <w:p>
      <w:pPr>
        <w:jc w:val="both"/>
        <w:ind w:right="100" w:firstLine="648"/>
        <w:spacing w:after="0" w:line="343" w:lineRule="auto"/>
        <w:rPr>
          <w:sz w:val="20"/>
          <w:szCs w:val="20"/>
          <w:color w:val="auto"/>
        </w:rPr>
      </w:pPr>
      <w:r>
        <w:rPr>
          <w:rFonts w:ascii="Times New Roman" w:cs="Times New Roman" w:eastAsia="Times New Roman" w:hAnsi="Times New Roman"/>
          <w:sz w:val="20"/>
          <w:szCs w:val="20"/>
          <w:color w:val="auto"/>
        </w:rPr>
        <w:t>Individuals are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 the Company’s equity plans, nor to situations approved in advance by the Chief Compliance Officer.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Partnership Distributions</w:t>
      </w:r>
    </w:p>
    <w:p>
      <w:pPr>
        <w:spacing w:after="0" w:line="274" w:lineRule="exact"/>
        <w:rPr>
          <w:sz w:val="20"/>
          <w:szCs w:val="20"/>
          <w:color w:val="auto"/>
        </w:rPr>
      </w:pPr>
    </w:p>
    <w:p>
      <w:pPr>
        <w:jc w:val="both"/>
        <w:ind w:right="100" w:firstLine="648"/>
        <w:spacing w:after="0" w:line="343" w:lineRule="auto"/>
        <w:rPr>
          <w:sz w:val="20"/>
          <w:szCs w:val="20"/>
          <w:color w:val="auto"/>
        </w:rPr>
      </w:pPr>
      <w:r>
        <w:rPr>
          <w:rFonts w:ascii="Times New Roman" w:cs="Times New Roman" w:eastAsia="Times New Roman" w:hAnsi="Times New Roman"/>
          <w:sz w:val="20"/>
          <w:szCs w:val="20"/>
          <w:color w:val="auto"/>
        </w:rPr>
        <w:t>Nothing in this Policy is intended to limit the ability of an investment fund,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Rule 10b5-1 Trading Plans</w:t>
      </w:r>
    </w:p>
    <w:p>
      <w:pPr>
        <w:spacing w:after="0" w:line="355" w:lineRule="exact"/>
        <w:rPr>
          <w:sz w:val="20"/>
          <w:szCs w:val="20"/>
          <w:color w:val="auto"/>
        </w:rPr>
      </w:pPr>
    </w:p>
    <w:p>
      <w:pPr>
        <w:jc w:val="both"/>
        <w:ind w:right="100" w:firstLine="648"/>
        <w:spacing w:after="0" w:line="345" w:lineRule="auto"/>
        <w:rPr>
          <w:sz w:val="20"/>
          <w:szCs w:val="20"/>
          <w:color w:val="auto"/>
        </w:rPr>
      </w:pPr>
      <w:r>
        <w:rPr>
          <w:rFonts w:ascii="Times New Roman" w:cs="Times New Roman" w:eastAsia="Times New Roman" w:hAnsi="Times New Roman"/>
          <w:sz w:val="20"/>
          <w:szCs w:val="20"/>
          <w:color w:val="auto"/>
        </w:rPr>
        <w:t>The trading restrictions set forth in this Policy, other than those transactions described under “</w:t>
      </w:r>
      <w:r>
        <w:rPr>
          <w:rFonts w:ascii="Times New Roman" w:cs="Times New Roman" w:eastAsia="Times New Roman" w:hAnsi="Times New Roman"/>
          <w:sz w:val="20"/>
          <w:szCs w:val="20"/>
          <w:u w:val="single" w:color="auto"/>
          <w:color w:val="auto"/>
        </w:rPr>
        <w:t>Prohibited Transactions</w:t>
      </w:r>
      <w:r>
        <w:rPr>
          <w:rFonts w:ascii="Times New Roman" w:cs="Times New Roman" w:eastAsia="Times New Roman" w:hAnsi="Times New Roman"/>
          <w:sz w:val="20"/>
          <w:szCs w:val="20"/>
          <w:color w:val="auto"/>
        </w:rPr>
        <w:t>,” do not apply to transactions under a previously established contract, plan or instruction to trade in the Company’s securities entered into in accordance with Rule 10b5-1 (a “</w:t>
      </w:r>
      <w:r>
        <w:rPr>
          <w:rFonts w:ascii="Times New Roman" w:cs="Times New Roman" w:eastAsia="Times New Roman" w:hAnsi="Times New Roman"/>
          <w:sz w:val="20"/>
          <w:szCs w:val="20"/>
          <w:u w:val="single" w:color="auto"/>
          <w:color w:val="auto"/>
        </w:rPr>
        <w:t>Trading Plan</w:t>
      </w:r>
      <w:r>
        <w:rPr>
          <w:rFonts w:ascii="Times New Roman" w:cs="Times New Roman" w:eastAsia="Times New Roman" w:hAnsi="Times New Roman"/>
          <w:sz w:val="20"/>
          <w:szCs w:val="20"/>
          <w:color w:val="auto"/>
        </w:rPr>
        <w:t>”) that:</w:t>
      </w:r>
    </w:p>
    <w:p>
      <w:pPr>
        <w:spacing w:after="0" w:line="291" w:lineRule="exact"/>
        <w:rPr>
          <w:sz w:val="20"/>
          <w:szCs w:val="20"/>
          <w:color w:val="auto"/>
        </w:rPr>
      </w:pPr>
    </w:p>
    <w:p>
      <w:pPr>
        <w:ind w:left="1300" w:right="100" w:hanging="654"/>
        <w:spacing w:after="0" w:line="367" w:lineRule="auto"/>
        <w:tabs>
          <w:tab w:leader="none" w:pos="128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submitted to and preapproved by the Chief Compliance Officer or Chief Financial Officer, or such other person as the Board of Directors may designate from time to time (the “</w:t>
      </w:r>
      <w:r>
        <w:rPr>
          <w:rFonts w:ascii="Times New Roman" w:cs="Times New Roman" w:eastAsia="Times New Roman" w:hAnsi="Times New Roman"/>
          <w:sz w:val="20"/>
          <w:szCs w:val="20"/>
          <w:u w:val="single" w:color="auto"/>
          <w:color w:val="auto"/>
        </w:rPr>
        <w:t>Authorizing Officer</w:t>
      </w:r>
      <w:r>
        <w:rPr>
          <w:rFonts w:ascii="Times New Roman" w:cs="Times New Roman" w:eastAsia="Times New Roman" w:hAnsi="Times New Roman"/>
          <w:sz w:val="20"/>
          <w:szCs w:val="20"/>
          <w:color w:val="auto"/>
        </w:rPr>
        <w:t>”);</w:t>
      </w:r>
    </w:p>
    <w:p>
      <w:pPr>
        <w:spacing w:after="0" w:line="228"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a “Cooling Off Period” for</w:t>
      </w:r>
    </w:p>
    <w:p>
      <w:pPr>
        <w:spacing w:after="0" w:line="256" w:lineRule="exact"/>
        <w:rPr>
          <w:sz w:val="20"/>
          <w:szCs w:val="20"/>
          <w:color w:val="auto"/>
        </w:rPr>
      </w:pPr>
    </w:p>
    <w:p>
      <w:pPr>
        <w:ind w:left="1940" w:right="300" w:hanging="322"/>
        <w:spacing w:after="0" w:line="350" w:lineRule="auto"/>
        <w:tabs>
          <w:tab w:leader="none" w:pos="1940" w:val="left"/>
        </w:tabs>
        <w:numPr>
          <w:ilvl w:val="0"/>
          <w:numId w:val="52"/>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Section 16 reporting persons that extends to the later of 90 days after adoption or modification of a Trading Plan or two business days after filing the Form 10-K or</w:t>
      </w:r>
    </w:p>
    <w:p>
      <w:pPr>
        <w:sectPr>
          <w:pgSz w:w="11900" w:h="16838" w:orient="portrait"/>
          <w:cols w:equalWidth="0" w:num="1">
            <w:col w:w="11140"/>
          </w:cols>
          <w:pgMar w:left="420" w:top="104"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Form 10-Q covering the fiscal quarter in which the Trading Plan was adopted, up to a maximum of 120 days; and</w:t>
      </w:r>
    </w:p>
    <w:p>
      <w:pPr>
        <w:spacing w:after="0" w:line="337" w:lineRule="exact"/>
        <w:rPr>
          <w:sz w:val="20"/>
          <w:szCs w:val="20"/>
          <w:color w:val="auto"/>
        </w:rPr>
      </w:pPr>
    </w:p>
    <w:p>
      <w:pPr>
        <w:ind w:left="1940" w:right="220" w:hanging="322"/>
        <w:spacing w:after="0" w:line="336" w:lineRule="auto"/>
        <w:tabs>
          <w:tab w:leader="none" w:pos="1940" w:val="left"/>
        </w:tabs>
        <w:numPr>
          <w:ilvl w:val="2"/>
          <w:numId w:val="53"/>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employees and any other persons, other than the Company, that extends 30 days after adoption or modification of a Trading Plan;</w:t>
      </w:r>
    </w:p>
    <w:p>
      <w:pPr>
        <w:spacing w:after="0" w:line="196" w:lineRule="exact"/>
        <w:rPr>
          <w:rFonts w:ascii="Courier New" w:cs="Courier New" w:eastAsia="Courier New" w:hAnsi="Courier New"/>
          <w:sz w:val="20"/>
          <w:szCs w:val="20"/>
          <w:color w:val="auto"/>
        </w:rPr>
      </w:pPr>
    </w:p>
    <w:p>
      <w:pPr>
        <w:jc w:val="both"/>
        <w:ind w:left="1300" w:right="100" w:hanging="654"/>
        <w:spacing w:after="0" w:line="345" w:lineRule="auto"/>
        <w:tabs>
          <w:tab w:leader="none" w:pos="128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 Section 16 reporting persons,</w:t>
      </w:r>
      <w:r>
        <w:rPr>
          <w:rFonts w:ascii="Times New Roman" w:cs="Times New Roman" w:eastAsia="Times New Roman" w:hAnsi="Times New Roman"/>
          <w:sz w:val="20"/>
          <w:szCs w:val="20"/>
          <w:color w:val="auto"/>
        </w:rPr>
        <w:t xml:space="preserve"> includes a representation in the Trading Plan that the Section 16 reporting person is (1) not aware of any material nonpublic information about the Company or its securities; and (2) adopting the Trading Plan in good faith and not as part of a plan or scheme to evade Rule 10b-5;</w:t>
      </w:r>
    </w:p>
    <w:p>
      <w:pPr>
        <w:spacing w:after="0" w:line="209" w:lineRule="exact"/>
        <w:rPr>
          <w:rFonts w:ascii="Times New Roman" w:cs="Times New Roman" w:eastAsia="Times New Roman" w:hAnsi="Times New Roman"/>
          <w:sz w:val="20"/>
          <w:szCs w:val="20"/>
          <w:color w:val="auto"/>
        </w:rPr>
      </w:pPr>
    </w:p>
    <w:p>
      <w:pPr>
        <w:jc w:val="both"/>
        <w:ind w:left="1300" w:right="120" w:hanging="330"/>
        <w:spacing w:after="0" w:line="345" w:lineRule="auto"/>
        <w:tabs>
          <w:tab w:leader="none" w:pos="1288"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entered into in good faith at a time when the individual was not in possession of material nonpublic information about the Company and not otherwise in a blackout period, and the person who entered into the Trading Plan has acted in good faith with respect to the Trading Plan;</w:t>
      </w:r>
    </w:p>
    <w:p>
      <w:pPr>
        <w:spacing w:after="0" w:line="209" w:lineRule="exact"/>
        <w:rPr>
          <w:rFonts w:ascii="Times New Roman" w:cs="Times New Roman" w:eastAsia="Times New Roman" w:hAnsi="Times New Roman"/>
          <w:sz w:val="20"/>
          <w:szCs w:val="20"/>
          <w:color w:val="auto"/>
        </w:rPr>
      </w:pPr>
    </w:p>
    <w:p>
      <w:pPr>
        <w:jc w:val="both"/>
        <w:ind w:left="1300" w:right="100" w:hanging="654"/>
        <w:spacing w:after="0" w:line="345" w:lineRule="auto"/>
        <w:tabs>
          <w:tab w:leader="none" w:pos="128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(1) specifies the amounts, prices, and dates of all transactions under the Trading Plan; or (2) provides a written formula, algorithm, or computer program for determining the amount, price, and date of the transactions, and (3) prohibits the individual from exercising any subsequent influence over the transactions; and</w:t>
      </w:r>
    </w:p>
    <w:p>
      <w:pPr>
        <w:spacing w:after="0" w:line="15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complies with all other applicable requirements of Rule 10b5-1.</w:t>
      </w:r>
    </w:p>
    <w:p>
      <w:pPr>
        <w:spacing w:after="0" w:line="270" w:lineRule="exact"/>
        <w:rPr>
          <w:sz w:val="20"/>
          <w:szCs w:val="20"/>
          <w:color w:val="auto"/>
        </w:rPr>
      </w:pPr>
    </w:p>
    <w:p>
      <w:pPr>
        <w:jc w:val="both"/>
        <w:ind w:right="120" w:firstLine="648"/>
        <w:spacing w:after="0" w:line="343" w:lineRule="auto"/>
        <w:rPr>
          <w:sz w:val="20"/>
          <w:szCs w:val="20"/>
          <w:color w:val="auto"/>
        </w:rPr>
      </w:pPr>
      <w:r>
        <w:rPr>
          <w:rFonts w:ascii="Times New Roman" w:cs="Times New Roman" w:eastAsia="Times New Roman" w:hAnsi="Times New Roman"/>
          <w:sz w:val="20"/>
          <w:szCs w:val="20"/>
          <w:color w:val="auto"/>
        </w:rPr>
        <w:t>The Chief Compliance Officer or the Chief Financial Officer may impose such other conditions on the implementation and operation of the Trading Plan as the Chief Compliance Officer deems necessary or advisable. Individuals may not adopt more than one Trading Plan at a time except under the limited circumstances permitted by Rule 10b5-1 and subject to preapproval by the Chief Compliance Officer.</w:t>
      </w:r>
    </w:p>
    <w:p>
      <w:pPr>
        <w:spacing w:after="0" w:line="211" w:lineRule="exact"/>
        <w:rPr>
          <w:sz w:val="20"/>
          <w:szCs w:val="20"/>
          <w:color w:val="auto"/>
        </w:rPr>
      </w:pPr>
    </w:p>
    <w:p>
      <w:pPr>
        <w:jc w:val="both"/>
        <w:ind w:right="100" w:firstLine="648"/>
        <w:spacing w:after="0" w:line="343" w:lineRule="auto"/>
        <w:rPr>
          <w:sz w:val="20"/>
          <w:szCs w:val="20"/>
          <w:color w:val="auto"/>
        </w:rPr>
      </w:pPr>
      <w:r>
        <w:rPr>
          <w:rFonts w:ascii="Times New Roman" w:cs="Times New Roman" w:eastAsia="Times New Roman" w:hAnsi="Times New Roman"/>
          <w:sz w:val="20"/>
          <w:szCs w:val="20"/>
          <w:color w:val="auto"/>
        </w:rPr>
        <w:t>An individual may only modify a Trading Plan outside of a blackout period and, in any event, when the individual does not possess material nonpublic information. Modifications to and terminations of a Trading Plan are subject to preapproval by the Authorizing Officer and modifications of a Trading Plan that change the amount, price, or timing of the purchase or sale of the securities underlying a Trading Plan will trigger a new Cooling-Off Period.</w:t>
      </w:r>
    </w:p>
    <w:p>
      <w:pPr>
        <w:spacing w:after="0" w:line="211" w:lineRule="exact"/>
        <w:rPr>
          <w:sz w:val="20"/>
          <w:szCs w:val="20"/>
          <w:color w:val="auto"/>
        </w:rPr>
      </w:pPr>
    </w:p>
    <w:p>
      <w:pPr>
        <w:jc w:val="both"/>
        <w:ind w:right="100" w:firstLine="648"/>
        <w:spacing w:after="0" w:line="338" w:lineRule="auto"/>
        <w:rPr>
          <w:sz w:val="20"/>
          <w:szCs w:val="20"/>
          <w:color w:val="auto"/>
        </w:rPr>
      </w:pPr>
      <w:r>
        <w:rPr>
          <w:rFonts w:ascii="Times New Roman" w:cs="Times New Roman" w:eastAsia="Times New Roman" w:hAnsi="Times New Roman"/>
          <w:sz w:val="20"/>
          <w:szCs w:val="20"/>
          <w:color w:val="auto"/>
        </w:rPr>
        <w:t>The Company reserves the right to publicly disclose, announce, or respond to inquiries from the media regarding the adoption, modification, or termination of a Trading Plan and non-Rule 10b5-1 trading arrangements, or the execution of transactions made under a Trading Plan. The Company also reserves the right from time to time to suspend, discontinue, or otherwise prohibit transactions under a Trading Plan if the Authorizing Officer or the Board of Directors, in its discretion, determines that such suspension, discontinuation, or other prohibition is in the best interests of the Company.</w:t>
      </w:r>
    </w:p>
    <w:p>
      <w:pPr>
        <w:sectPr>
          <w:pgSz w:w="11900" w:h="16838" w:orient="portrait"/>
          <w:cols w:equalWidth="0" w:num="1">
            <w:col w:w="11140"/>
          </w:cols>
          <w:pgMar w:left="420" w:top="104"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right="100" w:firstLine="648"/>
        <w:spacing w:after="0" w:line="343" w:lineRule="auto"/>
        <w:rPr>
          <w:sz w:val="20"/>
          <w:szCs w:val="20"/>
          <w:color w:val="auto"/>
        </w:rPr>
      </w:pPr>
      <w:r>
        <w:rPr>
          <w:rFonts w:ascii="Times New Roman" w:cs="Times New Roman" w:eastAsia="Times New Roman" w:hAnsi="Times New Roman"/>
          <w:sz w:val="20"/>
          <w:szCs w:val="20"/>
          <w:color w:val="auto"/>
        </w:rPr>
        <w:t>Compliance of a Trading Plan with the terms of Rule 10b5-1 and the execution of transactions pursuant to the Trading Plan are the sole responsibility of the person initiating the Trading Plan, and none of the Company, the Authorizing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Interpretation, Amendment, and Implementation of this Policy</w:t>
      </w:r>
    </w:p>
    <w:p>
      <w:pPr>
        <w:spacing w:after="0" w:line="355" w:lineRule="exact"/>
        <w:rPr>
          <w:sz w:val="20"/>
          <w:szCs w:val="20"/>
          <w:color w:val="auto"/>
        </w:rPr>
      </w:pPr>
    </w:p>
    <w:p>
      <w:pPr>
        <w:jc w:val="both"/>
        <w:ind w:right="100" w:firstLine="648"/>
        <w:spacing w:after="0" w:line="343" w:lineRule="auto"/>
        <w:rPr>
          <w:sz w:val="20"/>
          <w:szCs w:val="20"/>
          <w:color w:val="auto"/>
        </w:rPr>
      </w:pPr>
      <w:r>
        <w:rPr>
          <w:rFonts w:ascii="Times New Roman" w:cs="Times New Roman" w:eastAsia="Times New Roman" w:hAnsi="Times New Roman"/>
          <w:sz w:val="20"/>
          <w:szCs w:val="20"/>
          <w:color w:val="auto"/>
        </w:rPr>
        <w:t>The Chief Compliance Officer shall have the authority to interpret and update this Policy and all related policies and procedures. In particular, such interpretations and updates of this Policy, as authorized by the Chief Compliance Officer, may include amendments to or departures from the terms of this Policy, to the extent consistent with the general purpose of this Policy and applicable securities laws. Any amendment to this Policy must also be approved by the Board of Directors.</w:t>
      </w:r>
    </w:p>
    <w:p>
      <w:pPr>
        <w:spacing w:after="0" w:line="211" w:lineRule="exact"/>
        <w:rPr>
          <w:sz w:val="20"/>
          <w:szCs w:val="20"/>
          <w:color w:val="auto"/>
        </w:rPr>
      </w:pPr>
    </w:p>
    <w:p>
      <w:pPr>
        <w:jc w:val="both"/>
        <w:ind w:right="100" w:firstLine="648"/>
        <w:spacing w:after="0" w:line="367" w:lineRule="auto"/>
        <w:rPr>
          <w:sz w:val="20"/>
          <w:szCs w:val="20"/>
          <w:color w:val="auto"/>
        </w:rPr>
      </w:pPr>
      <w:r>
        <w:rPr>
          <w:rFonts w:ascii="Times New Roman" w:cs="Times New Roman" w:eastAsia="Times New Roman" w:hAnsi="Times New Roman"/>
          <w:sz w:val="20"/>
          <w:szCs w:val="20"/>
          <w:color w:val="auto"/>
        </w:rPr>
        <w:t>Actions taken by the Company, the Chief Compliance Officer, or any other Company personnel do not constitute legal advice, nor do they insulate you from the consequences of noncompliance with this Policy or with securities laws.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 of Compliance</w:t>
      </w:r>
    </w:p>
    <w:p>
      <w:pPr>
        <w:spacing w:after="0" w:line="355" w:lineRule="exact"/>
        <w:rPr>
          <w:sz w:val="20"/>
          <w:szCs w:val="20"/>
          <w:color w:val="auto"/>
        </w:rPr>
      </w:pPr>
    </w:p>
    <w:p>
      <w:pPr>
        <w:jc w:val="both"/>
        <w:ind w:right="120" w:firstLine="648"/>
        <w:spacing w:after="0" w:line="367" w:lineRule="auto"/>
        <w:rPr>
          <w:sz w:val="20"/>
          <w:szCs w:val="20"/>
          <w:color w:val="auto"/>
        </w:rPr>
      </w:pPr>
      <w:r>
        <w:rPr>
          <w:rFonts w:ascii="Times New Roman" w:cs="Times New Roman" w:eastAsia="Times New Roman" w:hAnsi="Times New Roman"/>
          <w:sz w:val="20"/>
          <w:szCs w:val="20"/>
          <w:color w:val="auto"/>
        </w:rPr>
        <w:t>All directors, officers, employees and others subject to this Policy may be asked periodically to certify their compliance with the terms and provisions of this Policy in the form attached hereto as “Attachment A.”</w:t>
      </w:r>
    </w:p>
    <w:p>
      <w:pPr>
        <w:sectPr>
          <w:pgSz w:w="11900" w:h="16838" w:orient="portrait"/>
          <w:cols w:equalWidth="0" w:num="1">
            <w:col w:w="11140"/>
          </w:cols>
          <w:pgMar w:left="420" w:top="104"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00" w:lineRule="exact"/>
        <w:rPr>
          <w:sz w:val="20"/>
          <w:szCs w:val="20"/>
          <w:color w:val="auto"/>
        </w:rPr>
      </w:pPr>
    </w:p>
    <w:p>
      <w:pPr>
        <w:spacing w:after="0" w:line="400" w:lineRule="exact"/>
        <w:rPr>
          <w:sz w:val="20"/>
          <w:szCs w:val="20"/>
          <w:color w:val="auto"/>
        </w:rPr>
      </w:pPr>
    </w:p>
    <w:p>
      <w:pPr>
        <w:ind w:left="2"/>
        <w:spacing w:after="0"/>
        <w:rPr>
          <w:sz w:val="20"/>
          <w:szCs w:val="20"/>
          <w:color w:val="auto"/>
        </w:rPr>
      </w:pPr>
      <w:r>
        <w:rPr>
          <w:rFonts w:ascii="Calibri" w:cs="Calibri" w:eastAsia="Calibri" w:hAnsi="Calibri"/>
          <w:sz w:val="22"/>
          <w:szCs w:val="22"/>
          <w:u w:val="single" w:color="auto"/>
          <w:color w:val="auto"/>
        </w:rPr>
        <w:t>Schedule II</w:t>
      </w:r>
    </w:p>
    <w:p>
      <w:pPr>
        <w:spacing w:after="0" w:line="297"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20"/>
          <w:szCs w:val="20"/>
          <w:b w:val="1"/>
          <w:bCs w:val="1"/>
          <w:color w:val="auto"/>
        </w:rPr>
        <w:t>Individuals Subject to Quarterly Trading Blackouts</w:t>
      </w:r>
    </w:p>
    <w:p>
      <w:pPr>
        <w:spacing w:after="0" w:line="301" w:lineRule="exact"/>
        <w:rPr>
          <w:sz w:val="20"/>
          <w:szCs w:val="20"/>
          <w:color w:val="auto"/>
        </w:rPr>
      </w:pPr>
    </w:p>
    <w:p>
      <w:pPr>
        <w:ind w:left="102" w:hanging="102"/>
        <w:spacing w:after="0"/>
        <w:tabs>
          <w:tab w:leader="none" w:pos="10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directors</w:t>
      </w:r>
    </w:p>
    <w:p>
      <w:pPr>
        <w:spacing w:after="0" w:line="215" w:lineRule="exact"/>
        <w:rPr>
          <w:rFonts w:ascii="Times New Roman" w:cs="Times New Roman" w:eastAsia="Times New Roman" w:hAnsi="Times New Roman"/>
          <w:sz w:val="20"/>
          <w:szCs w:val="20"/>
          <w:color w:val="auto"/>
        </w:rPr>
      </w:pPr>
    </w:p>
    <w:p>
      <w:pPr>
        <w:ind w:left="102" w:hanging="102"/>
        <w:spacing w:after="0"/>
        <w:tabs>
          <w:tab w:leader="none" w:pos="10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Section 16 officers</w:t>
      </w:r>
    </w:p>
    <w:p>
      <w:pPr>
        <w:spacing w:after="0" w:line="215" w:lineRule="exact"/>
        <w:rPr>
          <w:rFonts w:ascii="Times New Roman" w:cs="Times New Roman" w:eastAsia="Times New Roman" w:hAnsi="Times New Roman"/>
          <w:sz w:val="20"/>
          <w:szCs w:val="20"/>
          <w:color w:val="auto"/>
        </w:rPr>
      </w:pPr>
    </w:p>
    <w:p>
      <w:pPr>
        <w:ind w:left="102" w:hanging="102"/>
        <w:spacing w:after="0"/>
        <w:tabs>
          <w:tab w:leader="none" w:pos="10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employees</w:t>
      </w:r>
    </w:p>
    <w:p>
      <w:pPr>
        <w:spacing w:after="0" w:line="202" w:lineRule="exact"/>
        <w:rPr>
          <w:rFonts w:ascii="Times New Roman" w:cs="Times New Roman" w:eastAsia="Times New Roman" w:hAnsi="Times New Roman"/>
          <w:sz w:val="20"/>
          <w:szCs w:val="20"/>
          <w:color w:val="auto"/>
        </w:rPr>
      </w:pPr>
    </w:p>
    <w:p>
      <w:pPr>
        <w:ind w:left="102" w:hanging="102"/>
        <w:spacing w:after="0"/>
        <w:tabs>
          <w:tab w:leader="none" w:pos="10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Specified consultants</w:t>
      </w:r>
    </w:p>
    <w:p>
      <w:pPr>
        <w:sectPr>
          <w:pgSz w:w="11900" w:h="16838" w:orient="portrait"/>
          <w:cols w:equalWidth="0" w:num="1">
            <w:col w:w="11142"/>
          </w:cols>
          <w:pgMar w:left="418" w:top="104"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
        <w:spacing w:after="0"/>
        <w:rPr>
          <w:sz w:val="20"/>
          <w:szCs w:val="20"/>
          <w:color w:val="auto"/>
        </w:rPr>
      </w:pPr>
      <w:r>
        <w:rPr>
          <w:rFonts w:ascii="Calibri" w:cs="Calibri" w:eastAsia="Calibri" w:hAnsi="Calibri"/>
          <w:sz w:val="22"/>
          <w:szCs w:val="22"/>
          <w:u w:val="single" w:color="auto"/>
          <w:color w:val="auto"/>
        </w:rPr>
        <w:t>Schedule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20"/>
          <w:szCs w:val="20"/>
          <w:b w:val="1"/>
          <w:bCs w:val="1"/>
          <w:color w:val="auto"/>
        </w:rPr>
        <w:t>Individuals Subject to Preclearance Requirement</w:t>
      </w:r>
    </w:p>
    <w:p>
      <w:pPr>
        <w:spacing w:after="0" w:line="301" w:lineRule="exact"/>
        <w:rPr>
          <w:sz w:val="20"/>
          <w:szCs w:val="20"/>
          <w:color w:val="auto"/>
        </w:rPr>
      </w:pPr>
    </w:p>
    <w:p>
      <w:pPr>
        <w:ind w:left="102" w:hanging="102"/>
        <w:spacing w:after="0"/>
        <w:tabs>
          <w:tab w:leader="none" w:pos="10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directors</w:t>
      </w:r>
    </w:p>
    <w:p>
      <w:pPr>
        <w:spacing w:after="0" w:line="215" w:lineRule="exact"/>
        <w:rPr>
          <w:rFonts w:ascii="Times New Roman" w:cs="Times New Roman" w:eastAsia="Times New Roman" w:hAnsi="Times New Roman"/>
          <w:sz w:val="20"/>
          <w:szCs w:val="20"/>
          <w:color w:val="auto"/>
        </w:rPr>
      </w:pPr>
    </w:p>
    <w:p>
      <w:pPr>
        <w:ind w:left="102" w:hanging="102"/>
        <w:spacing w:after="0"/>
        <w:tabs>
          <w:tab w:leader="none" w:pos="10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Section 16 officers</w:t>
      </w:r>
    </w:p>
    <w:p>
      <w:pPr>
        <w:spacing w:after="0" w:line="215" w:lineRule="exact"/>
        <w:rPr>
          <w:rFonts w:ascii="Times New Roman" w:cs="Times New Roman" w:eastAsia="Times New Roman" w:hAnsi="Times New Roman"/>
          <w:sz w:val="20"/>
          <w:szCs w:val="20"/>
          <w:color w:val="auto"/>
        </w:rPr>
      </w:pPr>
    </w:p>
    <w:p>
      <w:pPr>
        <w:ind w:left="162" w:hanging="113"/>
        <w:spacing w:after="0"/>
        <w:tabs>
          <w:tab w:leader="none" w:pos="162"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Employees specified by the Company</w:t>
      </w:r>
    </w:p>
    <w:p>
      <w:pPr>
        <w:spacing w:after="0" w:line="215" w:lineRule="exact"/>
        <w:rPr>
          <w:rFonts w:ascii="Times New Roman" w:cs="Times New Roman" w:eastAsia="Times New Roman" w:hAnsi="Times New Roman"/>
          <w:sz w:val="20"/>
          <w:szCs w:val="20"/>
          <w:color w:val="auto"/>
        </w:rPr>
      </w:pPr>
    </w:p>
    <w:p>
      <w:pPr>
        <w:ind w:left="102" w:hanging="102"/>
        <w:spacing w:after="0"/>
        <w:tabs>
          <w:tab w:leader="none" w:pos="10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Consultants specified by the Company</w:t>
      </w:r>
    </w:p>
    <w:p>
      <w:pPr>
        <w:sectPr>
          <w:pgSz w:w="11900" w:h="16838" w:orient="portrait"/>
          <w:cols w:equalWidth="0" w:num="1">
            <w:col w:w="11142"/>
          </w:cols>
          <w:pgMar w:left="418" w:top="104"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Calibri" w:cs="Calibri" w:eastAsia="Calibri" w:hAnsi="Calibri"/>
          <w:sz w:val="22"/>
          <w:szCs w:val="22"/>
          <w:u w:val="single" w:color="auto"/>
          <w:color w:val="auto"/>
        </w:rPr>
        <w:t>Atachment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Certification of Compliance</w:t>
      </w: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20"/>
          <w:szCs w:val="20"/>
          <w:color w:val="auto"/>
        </w:rPr>
        <w:t>Return by [</w:t>
      </w:r>
      <w:r>
        <w:rPr>
          <w:sz w:val="20"/>
          <w:szCs w:val="20"/>
          <w:color w:val="auto"/>
        </w:rPr>
        <w:tab/>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insert return deadline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-8255</wp:posOffset>
            </wp:positionV>
            <wp:extent cx="1257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rPr>
              <w:t>To:</w:t>
            </w:r>
          </w:p>
        </w:tc>
        <w:tc>
          <w:tcPr>
            <w:tcW w:w="200" w:type="dxa"/>
            <w:vAlign w:val="bottom"/>
            <w:tcBorders>
              <w:bottom w:val="single" w:sz="8" w:color="auto"/>
            </w:tcBorders>
          </w:tcPr>
          <w:p>
            <w:pPr>
              <w:spacing w:after="0"/>
              <w:rPr>
                <w:sz w:val="19"/>
                <w:szCs w:val="19"/>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 [General Counsel] From:</w:t>
            </w:r>
          </w:p>
        </w:tc>
        <w:tc>
          <w:tcPr>
            <w:tcW w:w="580" w:type="dxa"/>
            <w:vAlign w:val="bottom"/>
            <w:tcBorders>
              <w:bottom w:val="single" w:sz="8" w:color="auto"/>
            </w:tcBorders>
          </w:tcPr>
          <w:p>
            <w:pPr>
              <w:spacing w:after="0"/>
              <w:rPr>
                <w:sz w:val="19"/>
                <w:szCs w:val="19"/>
                <w:color w:val="auto"/>
              </w:rPr>
            </w:pPr>
          </w:p>
        </w:tc>
        <w:tc>
          <w:tcPr>
            <w:tcW w:w="1080" w:type="dxa"/>
            <w:vAlign w:val="bottom"/>
          </w:tcPr>
          <w:p>
            <w:pPr>
              <w:spacing w:after="0"/>
              <w:rPr>
                <w:sz w:val="19"/>
                <w:szCs w:val="19"/>
                <w:color w:val="auto"/>
              </w:rPr>
            </w:pPr>
          </w:p>
        </w:tc>
      </w:tr>
      <w:tr>
        <w:trPr>
          <w:trHeight w:val="350"/>
        </w:trPr>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rPr>
              <w:t>Re:</w:t>
            </w:r>
          </w:p>
        </w:tc>
        <w:tc>
          <w:tcPr>
            <w:tcW w:w="400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w w:val="97"/>
              </w:rPr>
              <w:t>Insider Trading Compliance Policy of Arteris, Inc.</w:t>
            </w:r>
          </w:p>
        </w:tc>
      </w:tr>
    </w:tbl>
    <w:p>
      <w:pPr>
        <w:spacing w:after="0" w:line="147" w:lineRule="exact"/>
        <w:rPr>
          <w:sz w:val="20"/>
          <w:szCs w:val="20"/>
          <w:color w:val="auto"/>
        </w:rPr>
      </w:pPr>
    </w:p>
    <w:p>
      <w:pPr>
        <w:jc w:val="both"/>
        <w:ind w:left="20" w:right="100" w:firstLine="648"/>
        <w:spacing w:after="0" w:line="352" w:lineRule="auto"/>
        <w:rPr>
          <w:sz w:val="20"/>
          <w:szCs w:val="20"/>
          <w:color w:val="auto"/>
        </w:rPr>
      </w:pPr>
      <w:r>
        <w:rPr>
          <w:rFonts w:ascii="Times New Roman" w:cs="Times New Roman" w:eastAsia="Times New Roman" w:hAnsi="Times New Roman"/>
          <w:sz w:val="20"/>
          <w:szCs w:val="20"/>
          <w:color w:val="auto"/>
        </w:rPr>
        <w:t>I have received, reviewed, and understand the above-referenced Insider Trading Compliance Policy and undertake, as a condition to my present and continued employment (or, if I am not an employee, affiliation with) Arteris, Inc., to comply fully with the policies and procedures contained therein.</w:t>
      </w:r>
    </w:p>
    <w:p>
      <w:pPr>
        <w:spacing w:after="0" w:line="203" w:lineRule="exact"/>
        <w:rPr>
          <w:sz w:val="20"/>
          <w:szCs w:val="20"/>
          <w:color w:val="auto"/>
        </w:rPr>
      </w:pPr>
    </w:p>
    <w:p>
      <w:pPr>
        <w:jc w:val="both"/>
        <w:ind w:left="20" w:right="120" w:firstLine="648"/>
        <w:spacing w:after="0" w:line="353" w:lineRule="auto"/>
        <w:rPr>
          <w:sz w:val="20"/>
          <w:szCs w:val="20"/>
          <w:color w:val="auto"/>
        </w:rPr>
      </w:pPr>
      <w:r>
        <w:rPr>
          <w:rFonts w:ascii="Times New Roman" w:cs="Times New Roman" w:eastAsia="Times New Roman" w:hAnsi="Times New Roman"/>
          <w:sz w:val="20"/>
          <w:szCs w:val="20"/>
          <w:color w:val="auto"/>
        </w:rPr>
        <w:t>I hereby certify, to the best of my knowledge, that during the calendar year ending December 31, 20[ ], I have complied fully with all policies and procedures set forth in the above-referenced 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5530215</wp:posOffset>
            </wp:positionH>
            <wp:positionV relativeFrom="paragraph">
              <wp:posOffset>-294640</wp:posOffset>
            </wp:positionV>
            <wp:extent cx="311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ectPr>
          <w:pgSz w:w="11900" w:h="16838" w:orient="portrait"/>
          <w:cols w:equalWidth="0" w:num="1">
            <w:col w:w="11160"/>
          </w:cols>
          <w:pgMar w:left="400" w:top="104" w:right="339" w:bottom="1440" w:gutter="0" w:footer="0" w:header="0"/>
        </w:sectPr>
      </w:pPr>
    </w:p>
    <w:p>
      <w:pPr>
        <w:spacing w:after="0" w:line="255" w:lineRule="exact"/>
        <w:rPr>
          <w:sz w:val="20"/>
          <w:szCs w:val="20"/>
          <w:color w:val="auto"/>
        </w:rPr>
      </w:pPr>
    </w:p>
    <w:p>
      <w:pPr>
        <w:ind w:right="1600"/>
        <w:spacing w:after="0" w:line="378" w:lineRule="auto"/>
        <w:rPr>
          <w:sz w:val="20"/>
          <w:szCs w:val="20"/>
          <w:color w:val="auto"/>
        </w:rPr>
      </w:pPr>
      <w:r>
        <w:rPr>
          <w:rFonts w:ascii="Times New Roman" w:cs="Times New Roman" w:eastAsia="Times New Roman" w:hAnsi="Times New Roman"/>
          <w:sz w:val="19"/>
          <w:szCs w:val="19"/>
          <w:color w:val="auto"/>
        </w:rPr>
        <w:t>____________________________ Signature</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148" w:lineRule="exact"/>
        <w:rPr>
          <w:sz w:val="20"/>
          <w:szCs w:val="20"/>
          <w:color w:val="auto"/>
        </w:rPr>
      </w:pPr>
    </w:p>
    <w:p>
      <w:pPr>
        <w:sectPr>
          <w:pgSz w:w="11900" w:h="16838" w:orient="portrait"/>
          <w:cols w:equalWidth="0" w:num="2">
            <w:col w:w="4360" w:space="720"/>
            <w:col w:w="6080"/>
          </w:cols>
          <w:pgMar w:left="400" w:top="1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color w:val="auto"/>
        </w:rPr>
        <w:t>____________________________</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sectPr>
      <w:pgSz w:w="11900" w:h="16838" w:orient="portrait"/>
      <w:cols w:equalWidth="0" w:num="1">
        <w:col w:w="11160"/>
      </w:cols>
      <w:pgMar w:left="400" w:top="1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lowerRoman"/>
      <w:start w:val="2"/>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1."/>
      <w:numFmt w:val="decimal"/>
      <w:start w:val="5"/>
    </w:lvl>
  </w:abstractNum>
  <w:abstractNum w:abstractNumId="38">
    <w:nsid w:val="6DE91B18"/>
    <w:multiLevelType w:val="hybridMultilevel"/>
    <w:lvl w:ilvl="0">
      <w:lvlJc w:val="left"/>
      <w:lvlText w:val="%1."/>
      <w:numFmt w:val="decimal"/>
      <w:start w:val="14"/>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1."/>
      <w:numFmt w:val="decimal"/>
      <w:start w:val="1"/>
    </w:lvl>
    <w:lvl w:ilvl="1">
      <w:lvlJc w:val="left"/>
      <w:lvlText w:val="(%2)"/>
      <w:numFmt w:val="lowerLetter"/>
      <w:start w:val="1"/>
    </w:lvl>
  </w:abstractNum>
  <w:abstractNum w:abstractNumId="44">
    <w:nsid w:val="749ABB43"/>
    <w:multiLevelType w:val="hybridMultilevel"/>
    <w:lvl w:ilvl="0">
      <w:lvlJc w:val="left"/>
      <w:lvlText w:val="%1."/>
      <w:numFmt w:val="decimal"/>
      <w:start w:val="1"/>
    </w:lvl>
    <w:lvl w:ilvl="1">
      <w:lvlJc w:val="left"/>
      <w:lvlText w:val="(%2)"/>
      <w:numFmt w:val="lowerLetter"/>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o"/>
      <w:numFmt w:val="bullet"/>
      <w:start w:val="1"/>
    </w:lvl>
  </w:abstractNum>
  <w:abstractNum w:abstractNumId="52">
    <w:nsid w:val="374A3FE6"/>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55"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jpeg"/><Relationship Id="rId171" Type="http://schemas.openxmlformats.org/officeDocument/2006/relationships/image" Target="media/image137.png"/><Relationship Id="rId172" Type="http://schemas.openxmlformats.org/officeDocument/2006/relationships/image" Target="media/image138.png"/><Relationship Id="rId136" Type="http://schemas.openxmlformats.org/officeDocument/2006/relationships/hyperlink" Target="https://www.sec.gov/Archives/edgar/data/1667011/000119312521313553/d211035dex31.htm" TargetMode="External"/><Relationship Id="rId137" Type="http://schemas.openxmlformats.org/officeDocument/2006/relationships/hyperlink" Target="https://www.sec.gov/Archives/edgar/data/1667011/000119312521313553/d211035dex32.htm" TargetMode="External"/><Relationship Id="rId138" Type="http://schemas.openxmlformats.org/officeDocument/2006/relationships/hyperlink" Target="https://www.sec.gov/Archives/edgar/data/1667011/000119312521300473/d52087dex41.htm" TargetMode="External"/><Relationship Id="rId139" Type="http://schemas.openxmlformats.org/officeDocument/2006/relationships/hyperlink" Target="https://www.sec.gov/Archives/edgar/data/0001667011/000119312521289866/d52087dex101.htm" TargetMode="External"/><Relationship Id="rId140" Type="http://schemas.openxmlformats.org/officeDocument/2006/relationships/hyperlink" Target="https://www.sec.gov/Archives/edgar/data/0001667011/000119312521289866/d52087dex102.htm" TargetMode="External"/><Relationship Id="rId141" Type="http://schemas.openxmlformats.org/officeDocument/2006/relationships/hyperlink" Target="https://www.sec.gov/Archives/edgar/data/0001667011/000119312521289866/d52087dex103.htm" TargetMode="External"/><Relationship Id="rId142" Type="http://schemas.openxmlformats.org/officeDocument/2006/relationships/hyperlink" Target="https://www.sec.gov/Archives/edgar/data/0001667011/000119312521289866/d52087dex104.htm" TargetMode="External"/><Relationship Id="rId143" Type="http://schemas.openxmlformats.org/officeDocument/2006/relationships/hyperlink" Target="https://www.sec.gov/Archives/edgar/data/0001667011/000119312521289866/d52087dex106.htm" TargetMode="External"/><Relationship Id="rId144" Type="http://schemas.openxmlformats.org/officeDocument/2006/relationships/hyperlink" Target="https://www.sec.gov/Archives/edgar/data/0001667011/000119312521289866/d52087dex1010.htm" TargetMode="External"/><Relationship Id="rId145" Type="http://schemas.openxmlformats.org/officeDocument/2006/relationships/hyperlink" Target="https://www.sec.gov/Archives/edgar/data/1667011/000119312521313603/d210056dex991a.htm" TargetMode="External"/><Relationship Id="rId146" Type="http://schemas.openxmlformats.org/officeDocument/2006/relationships/hyperlink" Target="https://www.sec.gov/Archives/edgar/data/0001667011/000119312521289866/d52087dex1012.htm" TargetMode="External"/><Relationship Id="rId147" Type="http://schemas.openxmlformats.org/officeDocument/2006/relationships/hyperlink" Target="https://www.sec.gov/Archives/edgar/data/1667011/000119312521313603/d210056dex992a.htm" TargetMode="External"/><Relationship Id="rId148" Type="http://schemas.openxmlformats.org/officeDocument/2006/relationships/hyperlink" Target="https://www.sec.gov/Archives/edgar/data/1667011/000119312521300473/d52087dex1014.htm" TargetMode="External"/><Relationship Id="rId149" Type="http://schemas.openxmlformats.org/officeDocument/2006/relationships/hyperlink" Target="https://www.sec.gov/Archives/edgar/data/1667011/000119312521300473/d52087dex1015.htm" TargetMode="External"/><Relationship Id="rId150" Type="http://schemas.openxmlformats.org/officeDocument/2006/relationships/hyperlink" Target="https://www.sec.gov/Archives/edgar/data/1667011/000119312521313603/d210056dex993.htm" TargetMode="External"/><Relationship Id="rId151" Type="http://schemas.openxmlformats.org/officeDocument/2006/relationships/hyperlink" Target="https://www.sec.gov/Archives/edgar/data/1667011/000119312521300473/d52087dex1017.htm" TargetMode="External"/><Relationship Id="rId152" Type="http://schemas.openxmlformats.org/officeDocument/2006/relationships/hyperlink" Target="https://www.sec.gov/Archives/edgar/data/1667011/000119312521300473/d52087dex1018.htm" TargetMode="External"/><Relationship Id="rId153" Type="http://schemas.openxmlformats.org/officeDocument/2006/relationships/hyperlink" Target="https://www.sec.gov/Archives/edgar/data/1667011/000119312521300473/d52087dex1019.htm" TargetMode="External"/><Relationship Id="rId154" Type="http://schemas.openxmlformats.org/officeDocument/2006/relationships/hyperlink" Target="https://www.sec.gov/Archives/edgar/data/1667011/000119312521353839/d251768dex101.htm" TargetMode="External"/><Relationship Id="rId156" Type="http://schemas.openxmlformats.org/officeDocument/2006/relationships/hyperlink" Target="https://www.sec.gov/Archives/edgar/data/1667011/000166701122000010/exhibit1021.htm" TargetMode="External"/><Relationship Id="rId157" Type="http://schemas.openxmlformats.org/officeDocument/2006/relationships/hyperlink" Target="https://www.sec.gov/Archives/edgar/data/1667011/000166701122000019/transchipsparedactions.htm" TargetMode="External"/><Relationship Id="rId158" Type="http://schemas.openxmlformats.org/officeDocument/2006/relationships/hyperlink" Target="https://www.sec.gov/Archives/edgar/data/1667011/000166701122000036/transchipsharepurchaseands.htm" TargetMode="External"/><Relationship Id="rId159" Type="http://schemas.openxmlformats.org/officeDocument/2006/relationships/hyperlink" Target="https://www.sec.gov/Archives/edgar/data/1667011/000166701122000036/arteris-2022employmentindu.htm" TargetMode="External"/><Relationship Id="rId160" Type="http://schemas.openxmlformats.org/officeDocument/2006/relationships/hyperlink" Target="https://www.sec.gov/Archives/edgar/data/1667011/000166701122000036/arteris-formoptionagreement.htm" TargetMode="External"/><Relationship Id="rId161" Type="http://schemas.openxmlformats.org/officeDocument/2006/relationships/hyperlink" Target="https://www.sec.gov/Archives/edgar/data/1667011/000166701122000036/arteris-formrsuagreement20.htm" TargetMode="External"/><Relationship Id="rId162" Type="http://schemas.openxmlformats.org/officeDocument/2006/relationships/hyperlink" Target="https://www.sec.gov/Archives/edgar/data/1667011/000166701124000010/exhibit971fy2310-k.htm" TargetMode="External"/><Relationship Id="rId163" Type="http://schemas.openxmlformats.org/officeDocument/2006/relationships/hyperlink" Target="https://www.sec.gov/Archives/edgar/data/1667011/000166701124000026/exhibit101q2fy24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2025-02-18T16:22:08Z</dcterms:created>
  <dcterms:modified xsi:type="dcterms:W3CDTF">2025-02-18T16:22:08Z</dcterms:modified>
</cp:coreProperties>
</file>