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Chitkara Raman</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6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4,703</w:t>
            </w:r>
            <w:r>
              <w:rPr>
                <w:rFonts w:ascii="Times New Roman" w:cs="Times New Roman" w:eastAsia="Times New Roman" w:hAnsi="Times New Roman"/>
                <w:sz w:val="11"/>
                <w:szCs w:val="11"/>
                <w:color w:val="008000"/>
                <w:w w:val="86"/>
              </w:rPr>
              <w:t>(1)(2)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147,570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4,703 restricted stock units ("RSUs"), each of which represents a contingent right to receive one share of the Issuer's common stock. The RSUs will vest in full on the earlier of (i) the first anniversary of the grant date and (ii) immediately before the annual meeting of the Issuer's stockholders following the grant date, subject to the reporting person continuing to provide services to Issuer's Board through such vesting date. The RSUs have no expiration date. This grant of restricted stock was made on June 2, 2026, based on the average trading price of Arteris, Inc. common stock for the period from April 21, 2026 through June 2, 2026, which was $31.89.</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the receipt of shares.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Alpern, as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9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Chitkara Raman</w:t>
            </w:r>
          </w:p>
        </w:tc>
        <w:tc>
          <w:tcPr>
            <w:tcW w:w="1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2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459"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2026-06-04T18:01:10Z</dcterms:created>
  <dcterms:modified xsi:type="dcterms:W3CDTF">2026-06-04T18:01:10Z</dcterms:modified>
</cp:coreProperties>
</file>