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490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4903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JANAC K CHARLES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ARTERIS,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900 E. HAMILTON AVE.,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Arteris,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AIP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CAMPBELL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Bayview</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06/08/2026</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7"/>
                <w:szCs w:val="17"/>
                <w:color w:val="0000FF"/>
              </w:rPr>
              <w:t>42,449</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34.7417</w:t>
            </w:r>
            <w:r>
              <w:rPr>
                <w:rFonts w:ascii="Times New Roman" w:cs="Times New Roman" w:eastAsia="Times New Roman" w:hAnsi="Times New Roman"/>
                <w:sz w:val="22"/>
                <w:szCs w:val="22"/>
                <w:color w:val="008000"/>
                <w:vertAlign w:val="superscript"/>
              </w:rPr>
              <w:t>(2)</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8,956,622</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Legacy,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Bayview</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06/08/2026</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7"/>
                <w:szCs w:val="17"/>
                <w:color w:val="0000FF"/>
              </w:rPr>
              <w:t>27,551</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35.1596</w:t>
            </w:r>
            <w:r>
              <w:rPr>
                <w:rFonts w:ascii="Times New Roman" w:cs="Times New Roman" w:eastAsia="Times New Roman" w:hAnsi="Times New Roman"/>
                <w:sz w:val="22"/>
                <w:szCs w:val="22"/>
                <w:color w:val="008000"/>
                <w:vertAlign w:val="superscript"/>
              </w:rPr>
              <w:t>(4)</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8,929,071</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Legacy,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196,729</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Charles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56,252</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Lydia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Janac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made pursuant to a 10b5-1 trading plan that was adopted by the Reporting Person on March 5,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$33.97 to $34.96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manager of Bayview Legacy, LLC and as such is deemed to have voting and dispositive power of the shares beneficially owned by Bayview Legacy, LLC.</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$34.97 to $35.46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Charles and Lydia Janac Trust, for which the Reporting Person serves as trustee.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Paul Alpern,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61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JANAC K</w:t>
      </w:r>
      <w:r>
        <w:rPr>
          <w:sz w:val="20"/>
          <w:szCs w:val="20"/>
          <w:color w:val="auto"/>
        </w:rPr>
        <w:tab/>
      </w: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CHARLES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68987" TargetMode="External"/><Relationship Id="rId14" Type="http://schemas.openxmlformats.org/officeDocument/2006/relationships/hyperlink" Target="http://www.sec.gov/cgi-bin/browse-edgar?action=getcompany&amp;CIK=00016670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2026-06-10T15:24:00Z</dcterms:created>
  <dcterms:modified xsi:type="dcterms:W3CDTF">2026-06-10T15:24:00Z</dcterms:modified>
</cp:coreProperties>
</file>