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Bayview Legacy,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60"/>
        <w:gridCol w:w="278"/>
        <w:gridCol w:w="994"/>
        <w:gridCol w:w="412"/>
        <w:gridCol w:w="983"/>
        <w:gridCol w:w="1231"/>
        <w:gridCol w:w="950"/>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20.7497</w:t>
            </w:r>
            <w:r>
              <w:rPr>
                <w:rFonts w:ascii="Times;serif" w:hAnsi="Times;serif"/>
                <w:color w:val="008000"/>
                <w:position w:val="7"/>
                <w:sz w:val="16"/>
                <w:sz w:val="20"/>
                <w:shd w:fill="FFFFFF" w:val="clear"/>
              </w:rPr>
              <w:t>(3)</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8,229,071</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K. Charles Janac, as the manager of Bayview Legacy, LLC,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K. Charles Janac, in his individual capacity, has separately filed a Form 4 on the date hereof reporting the same transaction given his beneficial ownership of the reported security through Bayview Legacy, LLC, which he controls as its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$20.465 to $21.410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K. Charles Janac is the manager of Bayview Legacy, LLC and as such is deemed to have voting and dispositive power over the shares beneficially owned by Bayview Legacy,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 Charles Janac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86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3947</Characters>
  <CharactersWithSpaces>4613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