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Hawkins Nicholas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VP and 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92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38.7779</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107,037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38.7779</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105,772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38.7779</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104,663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38.7779</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103,172</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satisfy the Reporting Person's tax liability arising as a result of the release of restricted stock units.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 as Attorney-in-Fact for Hawkins Nicholas 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9550"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3568</Characters>
  <CharactersWithSpaces>4150</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