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33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331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Bayview Legacy, LLC</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Arteris,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AIP</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11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07/01/2026</w:t>
            </w:r>
          </w:p>
        </w:tc>
        <w:tc>
          <w:tcPr>
            <w:tcW w:w="27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ARTERIS, INC.</w:t>
            </w:r>
          </w:p>
        </w:tc>
        <w:tc>
          <w:tcPr>
            <w:tcW w:w="144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7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00" w:type="dxa"/>
            <w:vAlign w:val="bottom"/>
            <w:gridSpan w:val="3"/>
            <w:vMerge w:val="continue"/>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900 E. HAMILTON AVE.,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27,691</w:t>
            </w:r>
          </w:p>
        </w:tc>
        <w:tc>
          <w:tcPr>
            <w:tcW w:w="200" w:type="dxa"/>
            <w:vAlign w:val="bottom"/>
          </w:tcPr>
          <w:p>
            <w:pPr>
              <w:spacing w:after="0"/>
              <w:rPr>
                <w:sz w:val="21"/>
                <w:szCs w:val="21"/>
                <w:color w:val="auto"/>
              </w:rPr>
            </w:pPr>
          </w:p>
        </w:tc>
        <w:tc>
          <w:tcPr>
            <w:tcW w:w="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45.0395</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8,901,380</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63,562</w:t>
            </w:r>
          </w:p>
        </w:tc>
        <w:tc>
          <w:tcPr>
            <w:tcW w:w="200" w:type="dxa"/>
            <w:vAlign w:val="bottom"/>
          </w:tcPr>
          <w:p>
            <w:pPr>
              <w:spacing w:after="0"/>
              <w:rPr>
                <w:sz w:val="21"/>
                <w:szCs w:val="21"/>
                <w:color w:val="auto"/>
              </w:rPr>
            </w:pPr>
          </w:p>
        </w:tc>
        <w:tc>
          <w:tcPr>
            <w:tcW w:w="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44.0606</w:t>
            </w:r>
            <w:r>
              <w:rPr>
                <w:rFonts w:ascii="Times New Roman" w:cs="Times New Roman" w:eastAsia="Times New Roman" w:hAnsi="Times New Roman"/>
                <w:sz w:val="22"/>
                <w:szCs w:val="22"/>
                <w:color w:val="008000"/>
                <w:vertAlign w:val="superscript"/>
              </w:rPr>
              <w:t>(5)</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8,837,818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49,680</w:t>
            </w:r>
          </w:p>
        </w:tc>
        <w:tc>
          <w:tcPr>
            <w:tcW w:w="200" w:type="dxa"/>
            <w:vAlign w:val="bottom"/>
          </w:tcPr>
          <w:p>
            <w:pPr>
              <w:spacing w:after="0"/>
              <w:rPr>
                <w:sz w:val="21"/>
                <w:szCs w:val="21"/>
                <w:color w:val="auto"/>
              </w:rPr>
            </w:pPr>
          </w:p>
        </w:tc>
        <w:tc>
          <w:tcPr>
            <w:tcW w:w="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46.1653</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8,788,138</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07/01/2026</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40,405</w:t>
            </w:r>
          </w:p>
        </w:tc>
        <w:tc>
          <w:tcPr>
            <w:tcW w:w="200" w:type="dxa"/>
            <w:vAlign w:val="bottom"/>
          </w:tcPr>
          <w:p>
            <w:pPr>
              <w:spacing w:after="0"/>
              <w:rPr>
                <w:sz w:val="21"/>
                <w:szCs w:val="21"/>
                <w:color w:val="auto"/>
              </w:rPr>
            </w:pPr>
          </w:p>
        </w:tc>
        <w:tc>
          <w:tcPr>
            <w:tcW w:w="300" w:type="dxa"/>
            <w:vAlign w:val="bottom"/>
            <w:vMerge w:val="restart"/>
          </w:tcPr>
          <w:p>
            <w:pPr>
              <w:jc w:val="center"/>
              <w:ind w:right="91"/>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3"/>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47.0752</w:t>
            </w:r>
            <w:r>
              <w:rPr>
                <w:rFonts w:ascii="Times New Roman" w:cs="Times New Roman" w:eastAsia="Times New Roman" w:hAnsi="Times New Roman"/>
                <w:sz w:val="22"/>
                <w:szCs w:val="22"/>
                <w:color w:val="008000"/>
                <w:vertAlign w:val="superscript"/>
              </w:rPr>
              <w:t>(7)</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8,747,733</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that was adopted by K. Charles Janac, as the manager of Bayview Legacy, LLC, on December 12, 2025.</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 Charles Janac, in his individual capacity, has separately filed a Form 4 on the date hereof reporting the same transaction given his beneficial ownership of the reported security through Bayview Legacy, LLC, which he controls as its manager.</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$44.68 to $45.67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 Charles Janac is the manager of Bayview Legacy, LLC and as such is deemed to have voting and dispositive power over the shares beneficially owned by Bayview Legacy, LLC.</w:t>
      </w:r>
    </w:p>
    <w:p>
      <w:pPr>
        <w:spacing w:after="0" w:line="5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$43.68 to $44.67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$45.68 to $46.67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sale price. These shares were sold in multiple transactions at prices ranging from $46.68 to $47.63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 Charles Janac</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07/02/2026</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88862" TargetMode="External"/><Relationship Id="rId14" Type="http://schemas.openxmlformats.org/officeDocument/2006/relationships/hyperlink" Target="http://www.sec.gov/cgi-bin/browse-edgar?action=getcompany&amp;CIK=00016670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2026-07-02T15:18:18Z</dcterms:created>
  <dcterms:modified xsi:type="dcterms:W3CDTF">2026-07-02T15:18:18Z</dcterms:modified>
</cp:coreProperties>
</file>