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RAZA SAIYED ATIQ</w:t>
              </w:r>
            </w:hyperlink>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Arteris,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AIP</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00" w:type="dxa"/>
            <w:vAlign w:val="bottom"/>
            <w:gridSpan w:val="3"/>
            <w:vMerge w:val="continue"/>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bottom w:val="single" w:sz="8" w:color="0000EE"/>
            </w:tcBorders>
          </w:tcPr>
          <w:p>
            <w:pPr>
              <w:spacing w:after="0"/>
              <w:rPr>
                <w:sz w:val="6"/>
                <w:szCs w:val="6"/>
                <w:color w:val="auto"/>
              </w:rPr>
            </w:pPr>
          </w:p>
        </w:tc>
        <w:tc>
          <w:tcPr>
            <w:tcW w:w="2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00" w:type="dxa"/>
            <w:vAlign w:val="bottom"/>
            <w:gridSpan w:val="3"/>
            <w:vMerge w:val="continue"/>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14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40" w:type="dxa"/>
            <w:vAlign w:val="bottom"/>
            <w:vMerge w:val="restart"/>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1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07/01/2026</w:t>
            </w:r>
          </w:p>
        </w:tc>
        <w:tc>
          <w:tcPr>
            <w:tcW w:w="27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ARTERIS, INC.</w:t>
            </w:r>
          </w:p>
        </w:tc>
        <w:tc>
          <w:tcPr>
            <w:tcW w:w="144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27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00" w:type="dxa"/>
            <w:vAlign w:val="bottom"/>
            <w:gridSpan w:val="3"/>
            <w:vMerge w:val="continue"/>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900 E. HAMILTON AVE., SUITE 300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27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CAMPBELL</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95008</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12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tcPr>
          <w:p>
            <w:pPr>
              <w:ind w:left="12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3"/>
                <w:szCs w:val="13"/>
                <w:color w:val="auto"/>
              </w:rPr>
            </w:pPr>
          </w:p>
        </w:tc>
        <w:tc>
          <w:tcPr>
            <w:tcW w:w="21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5"/>
          </w:tcPr>
          <w:p>
            <w:pPr>
              <w:jc w:val="center"/>
              <w:ind w:right="18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jc w:val="center"/>
              <w:ind w:left="2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0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380" w:type="dxa"/>
            <w:vAlign w:val="bottom"/>
          </w:tcPr>
          <w:p>
            <w:pPr>
              <w:spacing w:after="0"/>
              <w:rPr>
                <w:sz w:val="11"/>
                <w:szCs w:val="11"/>
                <w:color w:val="auto"/>
              </w:rPr>
            </w:pPr>
          </w:p>
        </w:tc>
        <w:tc>
          <w:tcPr>
            <w:tcW w:w="11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40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400" w:type="dxa"/>
            <w:vAlign w:val="bottom"/>
          </w:tcPr>
          <w:p>
            <w:pPr>
              <w:spacing w:after="0"/>
              <w:rPr>
                <w:sz w:val="13"/>
                <w:szCs w:val="13"/>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3"/>
                <w:szCs w:val="13"/>
                <w:color w:val="auto"/>
              </w:rPr>
            </w:pPr>
          </w:p>
        </w:tc>
        <w:tc>
          <w:tcPr>
            <w:tcW w:w="11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jc w:val="center"/>
              <w:ind w:left="2"/>
              <w:spacing w:after="0"/>
              <w:rPr>
                <w:sz w:val="20"/>
                <w:szCs w:val="20"/>
                <w:color w:val="auto"/>
              </w:rPr>
            </w:pPr>
            <w:r>
              <w:rPr>
                <w:rFonts w:ascii="Arial" w:cs="Arial" w:eastAsia="Arial" w:hAnsi="Arial"/>
                <w:sz w:val="12"/>
                <w:szCs w:val="12"/>
                <w:b w:val="1"/>
                <w:bCs w:val="1"/>
                <w:color w:val="auto"/>
                <w:w w:val="99"/>
              </w:rPr>
              <w:t>(A) or</w:t>
            </w:r>
          </w:p>
        </w:tc>
        <w:tc>
          <w:tcPr>
            <w:tcW w:w="94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ind w:left="40"/>
              <w:spacing w:after="0" w:line="86" w:lineRule="exact"/>
              <w:rPr>
                <w:sz w:val="20"/>
                <w:szCs w:val="20"/>
                <w:color w:val="auto"/>
              </w:rPr>
            </w:pPr>
            <w:r>
              <w:rPr>
                <w:rFonts w:ascii="Arial" w:cs="Arial" w:eastAsia="Arial" w:hAnsi="Arial"/>
                <w:sz w:val="8"/>
                <w:szCs w:val="8"/>
                <w:b w:val="1"/>
                <w:bCs w:val="1"/>
                <w:color w:val="auto"/>
              </w:rPr>
              <w:t>Reported</w:t>
            </w:r>
          </w:p>
        </w:tc>
        <w:tc>
          <w:tcPr>
            <w:tcW w:w="4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1020" w:type="dxa"/>
            <w:vAlign w:val="bottom"/>
            <w:gridSpan w:val="3"/>
          </w:tcPr>
          <w:p>
            <w:pPr>
              <w:ind w:left="12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By Saiyed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Atiq Raza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and Nandini</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jc w:val="center"/>
              <w:ind w:left="29"/>
              <w:spacing w:after="0"/>
              <w:rPr>
                <w:sz w:val="20"/>
                <w:szCs w:val="20"/>
                <w:color w:val="auto"/>
              </w:rPr>
            </w:pPr>
            <w:r>
              <w:rPr>
                <w:rFonts w:ascii="Times New Roman" w:cs="Times New Roman" w:eastAsia="Times New Roman" w:hAnsi="Times New Roman"/>
                <w:sz w:val="17"/>
                <w:szCs w:val="17"/>
                <w:color w:val="0000FF"/>
              </w:rPr>
              <w:t>07/01/2026</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ind w:left="6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4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20,959</w:t>
            </w:r>
          </w:p>
        </w:tc>
        <w:tc>
          <w:tcPr>
            <w:tcW w:w="440" w:type="dxa"/>
            <w:vAlign w:val="bottom"/>
          </w:tcPr>
          <w:p>
            <w:pPr>
              <w:jc w:val="center"/>
              <w:ind w:left="22"/>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Pr>
          <w:p>
            <w:pPr>
              <w:ind w:left="120"/>
              <w:spacing w:after="0" w:line="213" w:lineRule="exact"/>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46.1987</w:t>
            </w:r>
            <w:r>
              <w:rPr>
                <w:rFonts w:ascii="Times New Roman" w:cs="Times New Roman" w:eastAsia="Times New Roman" w:hAnsi="Times New Roman"/>
                <w:sz w:val="22"/>
                <w:szCs w:val="22"/>
                <w:color w:val="008000"/>
                <w:w w:val="97"/>
                <w:vertAlign w:val="superscript"/>
              </w:rPr>
              <w:t>(2)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119,041</w:t>
            </w:r>
          </w:p>
        </w:tc>
        <w:tc>
          <w:tcPr>
            <w:tcW w:w="520" w:type="dxa"/>
            <w:vAlign w:val="bottom"/>
          </w:tcPr>
          <w:p>
            <w:pPr>
              <w:jc w:val="center"/>
              <w:ind w:left="209"/>
              <w:spacing w:after="0"/>
              <w:rPr>
                <w:sz w:val="20"/>
                <w:szCs w:val="20"/>
                <w:color w:val="auto"/>
              </w:rPr>
            </w:pPr>
            <w:r>
              <w:rPr>
                <w:rFonts w:ascii="Times New Roman" w:cs="Times New Roman" w:eastAsia="Times New Roman" w:hAnsi="Times New Roman"/>
                <w:sz w:val="16"/>
                <w:szCs w:val="16"/>
                <w:color w:val="0000FF"/>
                <w:w w:val="74"/>
              </w:rPr>
              <w:t>I</w:t>
            </w:r>
          </w:p>
        </w:tc>
        <w:tc>
          <w:tcPr>
            <w:tcW w:w="380" w:type="dxa"/>
            <w:vAlign w:val="bottom"/>
          </w:tcPr>
          <w:p>
            <w:pPr>
              <w:spacing w:after="0"/>
              <w:rPr>
                <w:sz w:val="18"/>
                <w:szCs w:val="18"/>
                <w:color w:val="auto"/>
              </w:rPr>
            </w:pP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Saraiya 2012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Trust dtd</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11/26/2012</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By Saiyed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Atiq Raza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and Nandini</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jc w:val="center"/>
              <w:ind w:left="29"/>
              <w:spacing w:after="0"/>
              <w:rPr>
                <w:sz w:val="20"/>
                <w:szCs w:val="20"/>
                <w:color w:val="auto"/>
              </w:rPr>
            </w:pPr>
            <w:r>
              <w:rPr>
                <w:rFonts w:ascii="Times New Roman" w:cs="Times New Roman" w:eastAsia="Times New Roman" w:hAnsi="Times New Roman"/>
                <w:sz w:val="17"/>
                <w:szCs w:val="17"/>
                <w:color w:val="0000FF"/>
              </w:rPr>
              <w:t>07/01/2026</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ind w:left="6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4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26,138</w:t>
            </w:r>
          </w:p>
        </w:tc>
        <w:tc>
          <w:tcPr>
            <w:tcW w:w="440" w:type="dxa"/>
            <w:vAlign w:val="bottom"/>
          </w:tcPr>
          <w:p>
            <w:pPr>
              <w:jc w:val="center"/>
              <w:ind w:left="22"/>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Pr>
          <w:p>
            <w:pPr>
              <w:ind w:left="120"/>
              <w:spacing w:after="0" w:line="213" w:lineRule="exact"/>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43.9796</w:t>
            </w:r>
            <w:r>
              <w:rPr>
                <w:rFonts w:ascii="Times New Roman" w:cs="Times New Roman" w:eastAsia="Times New Roman" w:hAnsi="Times New Roman"/>
                <w:sz w:val="22"/>
                <w:szCs w:val="22"/>
                <w:color w:val="008000"/>
                <w:w w:val="97"/>
                <w:vertAlign w:val="superscript"/>
              </w:rPr>
              <w:t>(4)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92,903</w:t>
            </w:r>
          </w:p>
        </w:tc>
        <w:tc>
          <w:tcPr>
            <w:tcW w:w="520" w:type="dxa"/>
            <w:vAlign w:val="bottom"/>
          </w:tcPr>
          <w:p>
            <w:pPr>
              <w:jc w:val="center"/>
              <w:ind w:left="209"/>
              <w:spacing w:after="0"/>
              <w:rPr>
                <w:sz w:val="20"/>
                <w:szCs w:val="20"/>
                <w:color w:val="auto"/>
              </w:rPr>
            </w:pPr>
            <w:r>
              <w:rPr>
                <w:rFonts w:ascii="Times New Roman" w:cs="Times New Roman" w:eastAsia="Times New Roman" w:hAnsi="Times New Roman"/>
                <w:sz w:val="16"/>
                <w:szCs w:val="16"/>
                <w:color w:val="0000FF"/>
                <w:w w:val="74"/>
              </w:rPr>
              <w:t>I</w:t>
            </w:r>
          </w:p>
        </w:tc>
        <w:tc>
          <w:tcPr>
            <w:tcW w:w="380" w:type="dxa"/>
            <w:vAlign w:val="bottom"/>
          </w:tcPr>
          <w:p>
            <w:pPr>
              <w:spacing w:after="0"/>
              <w:rPr>
                <w:sz w:val="18"/>
                <w:szCs w:val="18"/>
                <w:color w:val="auto"/>
              </w:rPr>
            </w:pP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Saraiya 2012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Trust dtd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11/26/2012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By Saiyed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Atiq Raza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and Nandini</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jc w:val="center"/>
              <w:ind w:left="29"/>
              <w:spacing w:after="0"/>
              <w:rPr>
                <w:sz w:val="20"/>
                <w:szCs w:val="20"/>
                <w:color w:val="auto"/>
              </w:rPr>
            </w:pPr>
            <w:r>
              <w:rPr>
                <w:rFonts w:ascii="Times New Roman" w:cs="Times New Roman" w:eastAsia="Times New Roman" w:hAnsi="Times New Roman"/>
                <w:sz w:val="17"/>
                <w:szCs w:val="17"/>
                <w:color w:val="0000FF"/>
              </w:rPr>
              <w:t>07/01/2026</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ind w:left="6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4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9,270</w:t>
            </w:r>
          </w:p>
        </w:tc>
        <w:tc>
          <w:tcPr>
            <w:tcW w:w="440" w:type="dxa"/>
            <w:vAlign w:val="bottom"/>
          </w:tcPr>
          <w:p>
            <w:pPr>
              <w:jc w:val="center"/>
              <w:ind w:left="22"/>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Pr>
          <w:p>
            <w:pPr>
              <w:ind w:left="120"/>
              <w:spacing w:after="0" w:line="213" w:lineRule="exact"/>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44.9884</w:t>
            </w:r>
            <w:r>
              <w:rPr>
                <w:rFonts w:ascii="Times New Roman" w:cs="Times New Roman" w:eastAsia="Times New Roman" w:hAnsi="Times New Roman"/>
                <w:sz w:val="22"/>
                <w:szCs w:val="22"/>
                <w:color w:val="008000"/>
                <w:w w:val="97"/>
                <w:vertAlign w:val="superscript"/>
              </w:rPr>
              <w:t>(5)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83,633</w:t>
            </w:r>
          </w:p>
        </w:tc>
        <w:tc>
          <w:tcPr>
            <w:tcW w:w="520" w:type="dxa"/>
            <w:vAlign w:val="bottom"/>
          </w:tcPr>
          <w:p>
            <w:pPr>
              <w:jc w:val="center"/>
              <w:ind w:left="209"/>
              <w:spacing w:after="0"/>
              <w:rPr>
                <w:sz w:val="20"/>
                <w:szCs w:val="20"/>
                <w:color w:val="auto"/>
              </w:rPr>
            </w:pPr>
            <w:r>
              <w:rPr>
                <w:rFonts w:ascii="Times New Roman" w:cs="Times New Roman" w:eastAsia="Times New Roman" w:hAnsi="Times New Roman"/>
                <w:sz w:val="16"/>
                <w:szCs w:val="16"/>
                <w:color w:val="0000FF"/>
                <w:w w:val="74"/>
              </w:rPr>
              <w:t>I</w:t>
            </w:r>
          </w:p>
        </w:tc>
        <w:tc>
          <w:tcPr>
            <w:tcW w:w="380" w:type="dxa"/>
            <w:vAlign w:val="bottom"/>
          </w:tcPr>
          <w:p>
            <w:pPr>
              <w:spacing w:after="0"/>
              <w:rPr>
                <w:sz w:val="18"/>
                <w:szCs w:val="18"/>
                <w:color w:val="auto"/>
              </w:rPr>
            </w:pP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Saraiya 2012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Trust dtd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11/26/2012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By Saiyed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Atiq Raza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and Nandini</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jc w:val="center"/>
              <w:ind w:left="29"/>
              <w:spacing w:after="0"/>
              <w:rPr>
                <w:sz w:val="20"/>
                <w:szCs w:val="20"/>
                <w:color w:val="auto"/>
              </w:rPr>
            </w:pPr>
            <w:r>
              <w:rPr>
                <w:rFonts w:ascii="Times New Roman" w:cs="Times New Roman" w:eastAsia="Times New Roman" w:hAnsi="Times New Roman"/>
                <w:sz w:val="17"/>
                <w:szCs w:val="17"/>
                <w:color w:val="0000FF"/>
              </w:rPr>
              <w:t>07/01/2026</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ind w:left="6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4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13,633</w:t>
            </w:r>
          </w:p>
        </w:tc>
        <w:tc>
          <w:tcPr>
            <w:tcW w:w="440" w:type="dxa"/>
            <w:vAlign w:val="bottom"/>
          </w:tcPr>
          <w:p>
            <w:pPr>
              <w:jc w:val="center"/>
              <w:ind w:left="22"/>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Pr>
          <w:p>
            <w:pPr>
              <w:ind w:left="120"/>
              <w:spacing w:after="0" w:line="213" w:lineRule="exact"/>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47.1004</w:t>
            </w:r>
            <w:r>
              <w:rPr>
                <w:rFonts w:ascii="Times New Roman" w:cs="Times New Roman" w:eastAsia="Times New Roman" w:hAnsi="Times New Roman"/>
                <w:sz w:val="22"/>
                <w:szCs w:val="22"/>
                <w:color w:val="008000"/>
                <w:w w:val="97"/>
                <w:vertAlign w:val="superscript"/>
              </w:rPr>
              <w:t>(6)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70,000</w:t>
            </w:r>
          </w:p>
        </w:tc>
        <w:tc>
          <w:tcPr>
            <w:tcW w:w="520" w:type="dxa"/>
            <w:vAlign w:val="bottom"/>
          </w:tcPr>
          <w:p>
            <w:pPr>
              <w:jc w:val="center"/>
              <w:ind w:left="209"/>
              <w:spacing w:after="0"/>
              <w:rPr>
                <w:sz w:val="20"/>
                <w:szCs w:val="20"/>
                <w:color w:val="auto"/>
              </w:rPr>
            </w:pPr>
            <w:r>
              <w:rPr>
                <w:rFonts w:ascii="Times New Roman" w:cs="Times New Roman" w:eastAsia="Times New Roman" w:hAnsi="Times New Roman"/>
                <w:sz w:val="16"/>
                <w:szCs w:val="16"/>
                <w:color w:val="0000FF"/>
                <w:w w:val="74"/>
              </w:rPr>
              <w:t>I</w:t>
            </w:r>
          </w:p>
        </w:tc>
        <w:tc>
          <w:tcPr>
            <w:tcW w:w="380" w:type="dxa"/>
            <w:vAlign w:val="bottom"/>
          </w:tcPr>
          <w:p>
            <w:pPr>
              <w:spacing w:after="0"/>
              <w:rPr>
                <w:sz w:val="18"/>
                <w:szCs w:val="18"/>
                <w:color w:val="auto"/>
              </w:rPr>
            </w:pP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Saraiya 2012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Trust dtd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11/26/2012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jc w:val="center"/>
              <w:ind w:left="253"/>
              <w:spacing w:after="0"/>
              <w:rPr>
                <w:sz w:val="20"/>
                <w:szCs w:val="20"/>
                <w:color w:val="auto"/>
              </w:rPr>
            </w:pPr>
            <w:r>
              <w:rPr>
                <w:rFonts w:ascii="Times New Roman" w:cs="Times New Roman" w:eastAsia="Times New Roman" w:hAnsi="Times New Roman"/>
                <w:sz w:val="17"/>
                <w:szCs w:val="17"/>
                <w:color w:val="0000FF"/>
              </w:rPr>
              <w:t>4,703</w:t>
            </w:r>
          </w:p>
        </w:tc>
        <w:tc>
          <w:tcPr>
            <w:tcW w:w="400" w:type="dxa"/>
            <w:vAlign w:val="bottom"/>
          </w:tcPr>
          <w:p>
            <w:pPr>
              <w:spacing w:after="0"/>
              <w:rPr>
                <w:sz w:val="23"/>
                <w:szCs w:val="23"/>
                <w:color w:val="auto"/>
              </w:rPr>
            </w:pPr>
          </w:p>
        </w:tc>
        <w:tc>
          <w:tcPr>
            <w:tcW w:w="520" w:type="dxa"/>
            <w:vAlign w:val="bottom"/>
          </w:tcPr>
          <w:p>
            <w:pPr>
              <w:jc w:val="center"/>
              <w:ind w:left="209"/>
              <w:spacing w:after="0"/>
              <w:rPr>
                <w:sz w:val="20"/>
                <w:szCs w:val="20"/>
                <w:color w:val="auto"/>
              </w:rPr>
            </w:pPr>
            <w:r>
              <w:rPr>
                <w:rFonts w:ascii="Times New Roman" w:cs="Times New Roman" w:eastAsia="Times New Roman" w:hAnsi="Times New Roman"/>
                <w:sz w:val="17"/>
                <w:szCs w:val="17"/>
                <w:color w:val="0000FF"/>
                <w:w w:val="97"/>
              </w:rPr>
              <w:t>D</w:t>
            </w: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420" w:type="dxa"/>
            <w:vAlign w:val="bottom"/>
            <w:tcBorders>
              <w:bottom w:val="single" w:sz="8" w:color="2C2C2C"/>
            </w:tcBorders>
            <w:gridSpan w:val="4"/>
          </w:tcPr>
          <w:p>
            <w:pPr>
              <w:spacing w:after="0"/>
              <w:rPr>
                <w:sz w:val="8"/>
                <w:szCs w:val="8"/>
                <w:color w:val="auto"/>
              </w:rPr>
            </w:pPr>
          </w:p>
        </w:tc>
        <w:tc>
          <w:tcPr>
            <w:tcW w:w="2900" w:type="dxa"/>
            <w:vAlign w:val="bottom"/>
            <w:tcBorders>
              <w:bottom w:val="single" w:sz="8" w:color="2C2C2C"/>
            </w:tcBorders>
            <w:gridSpan w:val="6"/>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gridSpan w:val="3"/>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3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4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3"/>
              </w:rPr>
              <w:t>Form:</w:t>
            </w:r>
          </w:p>
        </w:tc>
        <w:tc>
          <w:tcPr>
            <w:tcW w:w="3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400" w:type="dxa"/>
            <w:vAlign w:val="bottom"/>
          </w:tcPr>
          <w:p>
            <w:pPr>
              <w:spacing w:after="0" w:line="133" w:lineRule="exact"/>
              <w:rPr>
                <w:sz w:val="20"/>
                <w:szCs w:val="20"/>
                <w:color w:val="auto"/>
              </w:rPr>
            </w:pPr>
            <w:r>
              <w:rPr>
                <w:rFonts w:ascii="Arial" w:cs="Arial" w:eastAsia="Arial" w:hAnsi="Arial"/>
                <w:sz w:val="12"/>
                <w:szCs w:val="12"/>
                <w:b w:val="1"/>
                <w:bCs w:val="1"/>
                <w:color w:val="auto"/>
                <w:w w:val="94"/>
              </w:rPr>
              <w:t>Owned</w:t>
            </w:r>
          </w:p>
        </w:tc>
        <w:tc>
          <w:tcPr>
            <w:tcW w:w="52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and 5)</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9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476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47637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1494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4055" cy="2149475"/>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80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line="122" w:lineRule="exact"/>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4Code.  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0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70"/>
              </w:rPr>
              <w:t>6Exercisable.DateExercisableDate and</w:t>
            </w:r>
          </w:p>
        </w:tc>
        <w:tc>
          <w:tcPr>
            <w:tcW w:w="1000" w:type="dxa"/>
            <w:vAlign w:val="bottom"/>
          </w:tcPr>
          <w:p>
            <w:pPr>
              <w:ind w:left="100"/>
              <w:spacing w:after="0" w:line="122" w:lineRule="exact"/>
              <w:rPr>
                <w:sz w:val="20"/>
                <w:szCs w:val="20"/>
                <w:color w:val="auto"/>
              </w:rPr>
            </w:pPr>
            <w:r>
              <w:rPr>
                <w:rFonts w:ascii="Arial" w:cs="Arial" w:eastAsia="Arial" w:hAnsi="Arial"/>
                <w:sz w:val="12"/>
                <w:szCs w:val="12"/>
                <w:b w:val="1"/>
                <w:bCs w:val="1"/>
                <w:color w:val="auto"/>
                <w:w w:val="70"/>
              </w:rPr>
              <w:t>7Title.Title Sharesand</w:t>
            </w:r>
          </w:p>
        </w:tc>
        <w:tc>
          <w:tcPr>
            <w:tcW w:w="740" w:type="dxa"/>
            <w:vAlign w:val="bottom"/>
          </w:tcPr>
          <w:p>
            <w:pPr>
              <w:ind w:left="100"/>
              <w:spacing w:after="0" w:line="122" w:lineRule="exact"/>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800" w:type="dxa"/>
            <w:vAlign w:val="bottom"/>
          </w:tcPr>
          <w:p>
            <w:pPr>
              <w:ind w:left="12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1"/>
        </w:trPr>
        <w:tc>
          <w:tcPr>
            <w:tcW w:w="80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w:t>
            </w:r>
          </w:p>
        </w:tc>
        <w:tc>
          <w:tcPr>
            <w:tcW w:w="150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Amount of</w:t>
            </w:r>
          </w:p>
        </w:tc>
        <w:tc>
          <w:tcPr>
            <w:tcW w:w="74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21"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45"/>
        </w:trPr>
        <w:tc>
          <w:tcPr>
            <w:tcW w:w="800" w:type="dxa"/>
            <w:vAlign w:val="bottom"/>
          </w:tcPr>
          <w:p>
            <w:pPr>
              <w:ind w:left="40"/>
              <w:spacing w:after="0"/>
              <w:rPr>
                <w:sz w:val="20"/>
                <w:szCs w:val="20"/>
                <w:color w:val="auto"/>
              </w:rPr>
            </w:pPr>
            <w:r>
              <w:rPr>
                <w:rFonts w:ascii="Arial" w:cs="Arial" w:eastAsia="Arial" w:hAnsi="Arial"/>
                <w:sz w:val="11"/>
                <w:szCs w:val="11"/>
                <w:b w:val="1"/>
                <w:bCs w:val="1"/>
                <w:color w:val="auto"/>
                <w:w w:val="75"/>
              </w:rPr>
              <w:t>Explanation</w:t>
            </w:r>
            <w:r>
              <w:rPr>
                <w:rFonts w:ascii="Arial" w:cs="Arial" w:eastAsia="Arial" w:hAnsi="Arial"/>
                <w:sz w:val="9"/>
                <w:szCs w:val="9"/>
                <w:b w:val="1"/>
                <w:bCs w:val="1"/>
                <w:color w:val="auto"/>
                <w:w w:val="75"/>
              </w:rPr>
              <w:t>Security</w:t>
            </w:r>
          </w:p>
        </w:tc>
        <w:tc>
          <w:tcPr>
            <w:tcW w:w="1860" w:type="dxa"/>
            <w:vAlign w:val="bottom"/>
            <w:gridSpan w:val="2"/>
          </w:tcPr>
          <w:p>
            <w:pPr>
              <w:spacing w:after="0" w:line="146" w:lineRule="exact"/>
              <w:rPr>
                <w:sz w:val="20"/>
                <w:szCs w:val="20"/>
                <w:color w:val="auto"/>
              </w:rPr>
            </w:pPr>
            <w:r>
              <w:rPr>
                <w:rFonts w:ascii="Arial" w:cs="Arial" w:eastAsia="Arial" w:hAnsi="Arial"/>
                <w:sz w:val="12"/>
                <w:szCs w:val="12"/>
                <w:b w:val="1"/>
                <w:bCs w:val="1"/>
                <w:color w:val="auto"/>
                <w:w w:val="76"/>
              </w:rPr>
              <w:t>or</w:t>
            </w:r>
            <w:r>
              <w:rPr>
                <w:rFonts w:ascii="Arial" w:cs="Arial" w:eastAsia="Arial" w:hAnsi="Arial"/>
                <w:sz w:val="13"/>
                <w:szCs w:val="13"/>
                <w:b w:val="1"/>
                <w:bCs w:val="1"/>
                <w:color w:val="auto"/>
                <w:w w:val="76"/>
              </w:rPr>
              <w:t>of</w:t>
            </w:r>
            <w:r>
              <w:rPr>
                <w:rFonts w:ascii="Arial" w:cs="Arial" w:eastAsia="Arial" w:hAnsi="Arial"/>
                <w:sz w:val="12"/>
                <w:szCs w:val="12"/>
                <w:b w:val="1"/>
                <w:bCs w:val="1"/>
                <w:color w:val="auto"/>
                <w:w w:val="76"/>
              </w:rPr>
              <w:t>Ex</w:t>
            </w:r>
            <w:r>
              <w:rPr>
                <w:rFonts w:ascii="Arial" w:cs="Arial" w:eastAsia="Arial" w:hAnsi="Arial"/>
                <w:sz w:val="13"/>
                <w:szCs w:val="13"/>
                <w:b w:val="1"/>
                <w:bCs w:val="1"/>
                <w:color w:val="auto"/>
                <w:w w:val="76"/>
              </w:rPr>
              <w:t>Responses:</w:t>
            </w:r>
            <w:r>
              <w:rPr>
                <w:rFonts w:ascii="Arial" w:cs="Arial" w:eastAsia="Arial" w:hAnsi="Arial"/>
                <w:sz w:val="12"/>
                <w:szCs w:val="12"/>
                <w:b w:val="1"/>
                <w:bCs w:val="1"/>
                <w:color w:val="auto"/>
                <w:w w:val="76"/>
              </w:rPr>
              <w:t>rcise(Month/Day/Year)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1500" w:type="dxa"/>
            <w:vAlign w:val="bottom"/>
          </w:tcPr>
          <w:p>
            <w:pPr>
              <w:ind w:left="60"/>
              <w:spacing w:after="0"/>
              <w:rPr>
                <w:sz w:val="20"/>
                <w:szCs w:val="20"/>
                <w:color w:val="auto"/>
              </w:rPr>
            </w:pPr>
            <w:r>
              <w:rPr>
                <w:rFonts w:ascii="Arial" w:cs="Arial" w:eastAsia="Arial" w:hAnsi="Arial"/>
                <w:sz w:val="12"/>
                <w:szCs w:val="12"/>
                <w:b w:val="1"/>
                <w:bCs w:val="1"/>
                <w:color w:val="auto"/>
              </w:rPr>
              <w:t>(Month/Day/Year)</w:t>
            </w:r>
          </w:p>
        </w:tc>
        <w:tc>
          <w:tcPr>
            <w:tcW w:w="1000" w:type="dxa"/>
            <w:vAlign w:val="bottom"/>
          </w:tcPr>
          <w:p>
            <w:pPr>
              <w:ind w:left="100"/>
              <w:spacing w:after="0"/>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Securities</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1"/>
        </w:trPr>
        <w:tc>
          <w:tcPr>
            <w:tcW w:w="80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0"/>
                <w:szCs w:val="10"/>
                <w:color w:val="auto"/>
              </w:rPr>
            </w:pP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1500" w:type="dxa"/>
            <w:vAlign w:val="bottom"/>
          </w:tcPr>
          <w:p>
            <w:pPr>
              <w:spacing w:after="0"/>
              <w:rPr>
                <w:sz w:val="10"/>
                <w:szCs w:val="10"/>
                <w:color w:val="auto"/>
              </w:rPr>
            </w:pPr>
          </w:p>
        </w:tc>
        <w:tc>
          <w:tcPr>
            <w:tcW w:w="100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Underlying</w:t>
            </w:r>
          </w:p>
        </w:tc>
        <w:tc>
          <w:tcPr>
            <w:tcW w:w="74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Beneficially</w:t>
            </w:r>
          </w:p>
        </w:tc>
        <w:tc>
          <w:tcPr>
            <w:tcW w:w="800" w:type="dxa"/>
            <w:vAlign w:val="bottom"/>
          </w:tcPr>
          <w:p>
            <w:pPr>
              <w:ind w:left="120"/>
              <w:spacing w:after="0" w:line="121"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67"/>
        </w:trPr>
        <w:tc>
          <w:tcPr>
            <w:tcW w:w="6840" w:type="dxa"/>
            <w:vAlign w:val="bottom"/>
            <w:gridSpan w:val="7"/>
          </w:tcPr>
          <w:p>
            <w:pPr>
              <w:ind w:left="40"/>
              <w:spacing w:after="0" w:line="67" w:lineRule="exact"/>
              <w:rPr>
                <w:sz w:val="20"/>
                <w:szCs w:val="20"/>
                <w:color w:val="auto"/>
              </w:rPr>
            </w:pPr>
            <w:r>
              <w:rPr>
                <w:rFonts w:ascii="Times New Roman" w:cs="Times New Roman" w:eastAsia="Times New Roman" w:hAnsi="Times New Roman"/>
                <w:sz w:val="7"/>
                <w:szCs w:val="7"/>
                <w:color w:val="008000"/>
              </w:rPr>
              <w:t>1. Transaction made pursuant to a 10b5-1 trading plan that was adopted by the Reporting Person on November 7, 2025.</w:t>
            </w:r>
          </w:p>
        </w:tc>
        <w:tc>
          <w:tcPr>
            <w:tcW w:w="10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8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or Indirect</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1"/>
        </w:trPr>
        <w:tc>
          <w:tcPr>
            <w:tcW w:w="800" w:type="dxa"/>
            <w:vAlign w:val="bottom"/>
          </w:tcPr>
          <w:p>
            <w:pPr>
              <w:spacing w:after="0"/>
              <w:rPr>
                <w:sz w:val="7"/>
                <w:szCs w:val="7"/>
                <w:color w:val="auto"/>
              </w:rPr>
            </w:pPr>
          </w:p>
        </w:tc>
        <w:tc>
          <w:tcPr>
            <w:tcW w:w="740" w:type="dxa"/>
            <w:vAlign w:val="bottom"/>
          </w:tcPr>
          <w:p>
            <w:pPr>
              <w:spacing w:after="0" w:line="81" w:lineRule="exact"/>
              <w:rPr>
                <w:sz w:val="20"/>
                <w:szCs w:val="20"/>
                <w:color w:val="auto"/>
              </w:rPr>
            </w:pPr>
            <w:r>
              <w:rPr>
                <w:rFonts w:ascii="Arial" w:cs="Arial" w:eastAsia="Arial" w:hAnsi="Arial"/>
                <w:sz w:val="8"/>
                <w:szCs w:val="8"/>
                <w:b w:val="1"/>
                <w:bCs w:val="1"/>
                <w:color w:val="auto"/>
              </w:rPr>
              <w:t>Derivative</w:t>
            </w: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ind w:left="80"/>
              <w:spacing w:after="0" w:line="81" w:lineRule="exact"/>
              <w:rPr>
                <w:sz w:val="20"/>
                <w:szCs w:val="20"/>
                <w:color w:val="auto"/>
              </w:rPr>
            </w:pPr>
            <w:r>
              <w:rPr>
                <w:rFonts w:ascii="Arial" w:cs="Arial" w:eastAsia="Arial" w:hAnsi="Arial"/>
                <w:sz w:val="8"/>
                <w:szCs w:val="8"/>
                <w:b w:val="1"/>
                <w:bCs w:val="1"/>
                <w:color w:val="auto"/>
              </w:rPr>
              <w:t>Acquired</w:t>
            </w:r>
          </w:p>
        </w:tc>
        <w:tc>
          <w:tcPr>
            <w:tcW w:w="150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ind w:left="40" w:right="260" w:firstLine="7"/>
        <w:spacing w:after="0" w:line="262" w:lineRule="auto"/>
        <w:tabs>
          <w:tab w:leader="none" w:pos="173"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The price reported</w:t>
      </w:r>
      <w:r>
        <w:rPr>
          <w:rFonts w:ascii="Arial" w:cs="Arial" w:eastAsia="Arial" w:hAnsi="Arial"/>
          <w:sz w:val="9"/>
          <w:szCs w:val="9"/>
          <w:b w:val="1"/>
          <w:bCs w:val="1"/>
          <w:color w:val="000000"/>
        </w:rPr>
        <w:t>Security</w:t>
      </w:r>
      <w:r>
        <w:rPr>
          <w:rFonts w:ascii="Times New Roman" w:cs="Times New Roman" w:eastAsia="Times New Roman" w:hAnsi="Times New Roman"/>
          <w:sz w:val="11"/>
          <w:szCs w:val="11"/>
          <w:color w:val="008000"/>
        </w:rPr>
        <w:t>in Column 4 is a weighted average sale price. These shares were sold</w:t>
      </w:r>
      <w:r>
        <w:rPr>
          <w:rFonts w:ascii="Arial" w:cs="Arial" w:eastAsia="Arial" w:hAnsi="Arial"/>
          <w:sz w:val="9"/>
          <w:szCs w:val="9"/>
          <w:b w:val="1"/>
          <w:bCs w:val="1"/>
          <w:color w:val="000000"/>
        </w:rPr>
        <w:t>(A)or</w:t>
      </w:r>
      <w:r>
        <w:rPr>
          <w:rFonts w:ascii="Times New Roman" w:cs="Times New Roman" w:eastAsia="Times New Roman" w:hAnsi="Times New Roman"/>
          <w:sz w:val="11"/>
          <w:szCs w:val="11"/>
          <w:color w:val="008000"/>
        </w:rPr>
        <w:t>in multiple transactions at prices ranging</w:t>
      </w:r>
      <w:r>
        <w:rPr>
          <w:rFonts w:ascii="Arial" w:cs="Arial" w:eastAsia="Arial" w:hAnsi="Arial"/>
          <w:sz w:val="9"/>
          <w:szCs w:val="9"/>
          <w:b w:val="1"/>
          <w:bCs w:val="1"/>
          <w:color w:val="000000"/>
        </w:rPr>
        <w:t>Security</w:t>
      </w:r>
      <w:r>
        <w:rPr>
          <w:rFonts w:ascii="Times New Roman" w:cs="Times New Roman" w:eastAsia="Times New Roman" w:hAnsi="Times New Roman"/>
          <w:sz w:val="11"/>
          <w:szCs w:val="11"/>
          <w:color w:val="008000"/>
        </w:rPr>
        <w:t>from$</w:t>
      </w:r>
      <w:r>
        <w:rPr>
          <w:rFonts w:ascii="Arial" w:cs="Arial" w:eastAsia="Arial" w:hAnsi="Arial"/>
          <w:sz w:val="9"/>
          <w:szCs w:val="9"/>
          <w:b w:val="1"/>
          <w:bCs w:val="1"/>
          <w:color w:val="000000"/>
        </w:rPr>
        <w:t>(Instr</w:t>
      </w:r>
      <w:r>
        <w:rPr>
          <w:rFonts w:ascii="Times New Roman" w:cs="Times New Roman" w:eastAsia="Times New Roman" w:hAnsi="Times New Roman"/>
          <w:sz w:val="11"/>
          <w:szCs w:val="11"/>
          <w:color w:val="008000"/>
        </w:rPr>
        <w:t>45.68</w:t>
      </w:r>
      <w:r>
        <w:rPr>
          <w:rFonts w:ascii="Arial" w:cs="Arial" w:eastAsia="Arial" w:hAnsi="Arial"/>
          <w:sz w:val="9"/>
          <w:szCs w:val="9"/>
          <w:b w:val="1"/>
          <w:bCs w:val="1"/>
          <w:color w:val="000000"/>
        </w:rPr>
        <w:t>.</w:t>
      </w:r>
      <w:r>
        <w:rPr>
          <w:rFonts w:ascii="Times New Roman" w:cs="Times New Roman" w:eastAsia="Times New Roman" w:hAnsi="Times New Roman"/>
          <w:sz w:val="11"/>
          <w:szCs w:val="11"/>
          <w:color w:val="008000"/>
        </w:rPr>
        <w:t xml:space="preserve"> to $46.67 inclusive</w:t>
      </w:r>
      <w:r>
        <w:rPr>
          <w:rFonts w:ascii="Arial" w:cs="Arial" w:eastAsia="Arial" w:hAnsi="Arial"/>
          <w:sz w:val="9"/>
          <w:szCs w:val="9"/>
          <w:b w:val="1"/>
          <w:bCs w:val="1"/>
          <w:color w:val="000000"/>
        </w:rPr>
        <w:t>Following</w:t>
      </w:r>
      <w:r>
        <w:rPr>
          <w:rFonts w:ascii="Times New Roman" w:cs="Times New Roman" w:eastAsia="Times New Roman" w:hAnsi="Times New Roman"/>
          <w:sz w:val="11"/>
          <w:szCs w:val="11"/>
          <w:color w:val="008000"/>
        </w:rPr>
        <w:t>.TheReporting</w:t>
      </w:r>
      <w:r>
        <w:rPr>
          <w:rFonts w:ascii="Arial" w:cs="Arial" w:eastAsia="Arial" w:hAnsi="Arial"/>
          <w:sz w:val="9"/>
          <w:szCs w:val="9"/>
          <w:b w:val="1"/>
          <w:bCs w:val="1"/>
          <w:color w:val="000000"/>
        </w:rPr>
        <w:t>(I)</w:t>
      </w:r>
      <w:r>
        <w:rPr>
          <w:rFonts w:ascii="Times New Roman" w:cs="Times New Roman" w:eastAsia="Times New Roman" w:hAnsi="Times New Roman"/>
          <w:sz w:val="11"/>
          <w:szCs w:val="11"/>
          <w:color w:val="008000"/>
        </w:rPr>
        <w:t>Person</w:t>
      </w:r>
      <w:r>
        <w:rPr>
          <w:rFonts w:ascii="Arial" w:cs="Arial" w:eastAsia="Arial" w:hAnsi="Arial"/>
          <w:sz w:val="9"/>
          <w:szCs w:val="9"/>
          <w:b w:val="1"/>
          <w:bCs w:val="1"/>
          <w:color w:val="000000"/>
        </w:rPr>
        <w:t>(Instr.</w:t>
      </w:r>
      <w:r>
        <w:rPr>
          <w:rFonts w:ascii="Times New Roman" w:cs="Times New Roman" w:eastAsia="Times New Roman" w:hAnsi="Times New Roman"/>
          <w:sz w:val="11"/>
          <w:szCs w:val="11"/>
          <w:color w:val="008000"/>
        </w:rPr>
        <w:t xml:space="preserve"> undertakes</w:t>
      </w:r>
      <w:r>
        <w:rPr>
          <w:rFonts w:ascii="Arial" w:cs="Arial" w:eastAsia="Arial" w:hAnsi="Arial"/>
          <w:sz w:val="9"/>
          <w:szCs w:val="9"/>
          <w:b w:val="1"/>
          <w:bCs w:val="1"/>
          <w:color w:val="000000"/>
        </w:rPr>
        <w:t>4)</w:t>
      </w:r>
      <w:r>
        <w:rPr>
          <w:rFonts w:ascii="Times New Roman" w:cs="Times New Roman" w:eastAsia="Times New Roman" w:hAnsi="Times New Roman"/>
          <w:sz w:val="11"/>
          <w:szCs w:val="11"/>
          <w:color w:val="008000"/>
        </w:rPr>
        <w:t xml:space="preserve"> to provide the Issuer, any security holder of the Issuer, or the staff of the Securities and Exchange</w:t>
      </w:r>
      <w:r>
        <w:rPr>
          <w:rFonts w:ascii="Arial" w:cs="Arial" w:eastAsia="Arial" w:hAnsi="Arial"/>
          <w:sz w:val="9"/>
          <w:szCs w:val="9"/>
          <w:b w:val="1"/>
          <w:bCs w:val="1"/>
          <w:color w:val="000000"/>
        </w:rPr>
        <w:t>Disposed</w:t>
      </w:r>
      <w:r>
        <w:rPr>
          <w:rFonts w:ascii="Times New Roman" w:cs="Times New Roman" w:eastAsia="Times New Roman" w:hAnsi="Times New Roman"/>
          <w:sz w:val="11"/>
          <w:szCs w:val="11"/>
          <w:color w:val="008000"/>
        </w:rPr>
        <w:t>Commission, upon request, full information</w:t>
      </w:r>
      <w:r>
        <w:rPr>
          <w:rFonts w:ascii="Arial" w:cs="Arial" w:eastAsia="Arial" w:hAnsi="Arial"/>
          <w:sz w:val="9"/>
          <w:szCs w:val="9"/>
          <w:b w:val="1"/>
          <w:bCs w:val="1"/>
          <w:color w:val="000000"/>
        </w:rPr>
        <w:t>3and4)</w:t>
      </w:r>
      <w:r>
        <w:rPr>
          <w:rFonts w:ascii="Times New Roman" w:cs="Times New Roman" w:eastAsia="Times New Roman" w:hAnsi="Times New Roman"/>
          <w:sz w:val="11"/>
          <w:szCs w:val="11"/>
          <w:color w:val="008000"/>
        </w:rPr>
        <w:t xml:space="preserve"> regarding the number </w:t>
      </w:r>
      <w:r>
        <w:rPr>
          <w:rFonts w:ascii="Arial" w:cs="Arial" w:eastAsia="Arial" w:hAnsi="Arial"/>
          <w:sz w:val="9"/>
          <w:szCs w:val="9"/>
          <w:b w:val="1"/>
          <w:bCs w:val="1"/>
          <w:color w:val="000000"/>
        </w:rPr>
        <w:t>Report</w:t>
      </w:r>
      <w:r>
        <w:rPr>
          <w:rFonts w:ascii="Times New Roman" w:cs="Times New Roman" w:eastAsia="Times New Roman" w:hAnsi="Times New Roman"/>
          <w:sz w:val="11"/>
          <w:szCs w:val="11"/>
          <w:color w:val="008000"/>
        </w:rPr>
        <w:t>ofshares</w:t>
      </w:r>
      <w:r>
        <w:rPr>
          <w:rFonts w:ascii="Arial" w:cs="Arial" w:eastAsia="Arial" w:hAnsi="Arial"/>
          <w:sz w:val="9"/>
          <w:szCs w:val="9"/>
          <w:b w:val="1"/>
          <w:bCs w:val="1"/>
          <w:color w:val="000000"/>
        </w:rPr>
        <w:t>d</w:t>
      </w:r>
      <w:r>
        <w:rPr>
          <w:rFonts w:ascii="Times New Roman" w:cs="Times New Roman" w:eastAsia="Times New Roman" w:hAnsi="Times New Roman"/>
          <w:sz w:val="11"/>
          <w:szCs w:val="11"/>
          <w:color w:val="008000"/>
        </w:rPr>
        <w:t xml:space="preserve"> sold at each separate price</w:t>
      </w:r>
    </w:p>
    <w:tbl>
      <w:tblPr>
        <w:tblLayout w:type="fixed"/>
        <w:tblInd w:w="40" w:type="dxa"/>
        <w:tblCellMar>
          <w:top w:w="0" w:type="dxa"/>
          <w:left w:w="0" w:type="dxa"/>
          <w:bottom w:w="0" w:type="dxa"/>
          <w:right w:w="0" w:type="dxa"/>
        </w:tblCellMar>
      </w:tblPr>
      <w:tr>
        <w:trPr>
          <w:trHeight w:val="136"/>
        </w:trPr>
        <w:tc>
          <w:tcPr>
            <w:tcW w:w="3440" w:type="dxa"/>
            <w:vAlign w:val="bottom"/>
          </w:tcPr>
          <w:p>
            <w:pPr>
              <w:spacing w:after="0" w:line="136" w:lineRule="exact"/>
              <w:rPr>
                <w:sz w:val="20"/>
                <w:szCs w:val="20"/>
                <w:color w:val="auto"/>
              </w:rPr>
            </w:pPr>
            <w:r>
              <w:rPr>
                <w:rFonts w:ascii="Times New Roman" w:cs="Times New Roman" w:eastAsia="Times New Roman" w:hAnsi="Times New Roman"/>
                <w:sz w:val="13"/>
                <w:szCs w:val="13"/>
                <w:color w:val="008000"/>
              </w:rPr>
              <w:t>within the range set forth in this footnote.</w:t>
            </w:r>
          </w:p>
        </w:tc>
        <w:tc>
          <w:tcPr>
            <w:tcW w:w="4500" w:type="dxa"/>
            <w:vAlign w:val="bottom"/>
          </w:tcPr>
          <w:p>
            <w:pPr>
              <w:ind w:left="1200"/>
              <w:spacing w:after="0" w:line="136" w:lineRule="exact"/>
              <w:rPr>
                <w:sz w:val="20"/>
                <w:szCs w:val="20"/>
                <w:color w:val="auto"/>
              </w:rPr>
            </w:pPr>
            <w:r>
              <w:rPr>
                <w:rFonts w:ascii="Arial" w:cs="Arial" w:eastAsia="Arial" w:hAnsi="Arial"/>
                <w:sz w:val="12"/>
                <w:szCs w:val="12"/>
                <w:b w:val="1"/>
                <w:bCs w:val="1"/>
                <w:color w:val="auto"/>
              </w:rPr>
              <w:t>of (D)</w:t>
            </w:r>
          </w:p>
        </w:tc>
        <w:tc>
          <w:tcPr>
            <w:tcW w:w="1500" w:type="dxa"/>
            <w:vAlign w:val="bottom"/>
          </w:tcPr>
          <w:p>
            <w:pPr>
              <w:ind w:left="680"/>
              <w:spacing w:after="0" w:line="136" w:lineRule="exact"/>
              <w:rPr>
                <w:sz w:val="20"/>
                <w:szCs w:val="20"/>
                <w:color w:val="auto"/>
              </w:rPr>
            </w:pPr>
            <w:r>
              <w:rPr>
                <w:rFonts w:ascii="Arial" w:cs="Arial" w:eastAsia="Arial" w:hAnsi="Arial"/>
                <w:sz w:val="12"/>
                <w:szCs w:val="12"/>
                <w:b w:val="1"/>
                <w:bCs w:val="1"/>
                <w:color w:val="auto"/>
                <w:w w:val="96"/>
              </w:rPr>
              <w:t>Transaction(s)</w:t>
            </w:r>
          </w:p>
        </w:tc>
      </w:tr>
      <w:tr>
        <w:trPr>
          <w:trHeight w:val="107"/>
        </w:trPr>
        <w:tc>
          <w:tcPr>
            <w:tcW w:w="3440" w:type="dxa"/>
            <w:vAlign w:val="bottom"/>
          </w:tcPr>
          <w:p>
            <w:pPr>
              <w:spacing w:after="0"/>
              <w:rPr>
                <w:sz w:val="9"/>
                <w:szCs w:val="9"/>
                <w:color w:val="auto"/>
              </w:rPr>
            </w:pPr>
          </w:p>
        </w:tc>
        <w:tc>
          <w:tcPr>
            <w:tcW w:w="4500" w:type="dxa"/>
            <w:vAlign w:val="bottom"/>
          </w:tcPr>
          <w:p>
            <w:pPr>
              <w:ind w:left="1200"/>
              <w:spacing w:after="0" w:line="107" w:lineRule="exact"/>
              <w:rPr>
                <w:sz w:val="20"/>
                <w:szCs w:val="20"/>
                <w:color w:val="auto"/>
              </w:rPr>
            </w:pPr>
            <w:r>
              <w:rPr>
                <w:rFonts w:ascii="Arial" w:cs="Arial" w:eastAsia="Arial" w:hAnsi="Arial"/>
                <w:sz w:val="12"/>
                <w:szCs w:val="12"/>
                <w:b w:val="1"/>
                <w:bCs w:val="1"/>
                <w:color w:val="auto"/>
              </w:rPr>
              <w:t>(Instr. 3, 4</w:t>
            </w:r>
          </w:p>
        </w:tc>
        <w:tc>
          <w:tcPr>
            <w:tcW w:w="1500" w:type="dxa"/>
            <w:vAlign w:val="bottom"/>
          </w:tcPr>
          <w:p>
            <w:pPr>
              <w:ind w:left="680"/>
              <w:spacing w:after="0" w:line="107" w:lineRule="exact"/>
              <w:rPr>
                <w:sz w:val="20"/>
                <w:szCs w:val="20"/>
                <w:color w:val="auto"/>
              </w:rPr>
            </w:pPr>
            <w:r>
              <w:rPr>
                <w:rFonts w:ascii="Arial" w:cs="Arial" w:eastAsia="Arial" w:hAnsi="Arial"/>
                <w:sz w:val="12"/>
                <w:szCs w:val="12"/>
                <w:b w:val="1"/>
                <w:bCs w:val="1"/>
                <w:color w:val="auto"/>
              </w:rPr>
              <w:t>(Instr. 4)</w:t>
            </w:r>
          </w:p>
        </w:tc>
      </w:tr>
      <w:tr>
        <w:trPr>
          <w:trHeight w:val="93"/>
        </w:trPr>
        <w:tc>
          <w:tcPr>
            <w:tcW w:w="7940" w:type="dxa"/>
            <w:vAlign w:val="bottom"/>
            <w:gridSpan w:val="2"/>
          </w:tcPr>
          <w:p>
            <w:pPr>
              <w:spacing w:after="0" w:line="93" w:lineRule="exact"/>
              <w:rPr>
                <w:sz w:val="20"/>
                <w:szCs w:val="20"/>
                <w:color w:val="auto"/>
              </w:rPr>
            </w:pPr>
            <w:r>
              <w:rPr>
                <w:rFonts w:ascii="Times New Roman" w:cs="Times New Roman" w:eastAsia="Times New Roman" w:hAnsi="Times New Roman"/>
                <w:sz w:val="10"/>
                <w:szCs w:val="10"/>
                <w:color w:val="008000"/>
              </w:rPr>
              <w:t>3. The shares are held by Saiyed Atiq Raza and Nandini Saraiya 2012 Revocable Trust for which the Reporting Person serves as trustee.</w:t>
            </w:r>
          </w:p>
        </w:tc>
        <w:tc>
          <w:tcPr>
            <w:tcW w:w="1500" w:type="dxa"/>
            <w:vAlign w:val="bottom"/>
          </w:tcPr>
          <w:p>
            <w:pPr>
              <w:spacing w:after="0"/>
              <w:rPr>
                <w:sz w:val="8"/>
                <w:szCs w:val="8"/>
                <w:color w:val="auto"/>
              </w:rPr>
            </w:pPr>
          </w:p>
        </w:tc>
      </w:tr>
      <w:tr>
        <w:trPr>
          <w:trHeight w:val="81"/>
        </w:trPr>
        <w:tc>
          <w:tcPr>
            <w:tcW w:w="3440" w:type="dxa"/>
            <w:vAlign w:val="bottom"/>
          </w:tcPr>
          <w:p>
            <w:pPr>
              <w:spacing w:after="0"/>
              <w:rPr>
                <w:sz w:val="7"/>
                <w:szCs w:val="7"/>
                <w:color w:val="auto"/>
              </w:rPr>
            </w:pPr>
          </w:p>
        </w:tc>
        <w:tc>
          <w:tcPr>
            <w:tcW w:w="4500" w:type="dxa"/>
            <w:vAlign w:val="bottom"/>
          </w:tcPr>
          <w:p>
            <w:pPr>
              <w:ind w:left="1200"/>
              <w:spacing w:after="0" w:line="81" w:lineRule="exact"/>
              <w:rPr>
                <w:sz w:val="20"/>
                <w:szCs w:val="20"/>
                <w:color w:val="auto"/>
              </w:rPr>
            </w:pPr>
            <w:r>
              <w:rPr>
                <w:rFonts w:ascii="Arial" w:cs="Arial" w:eastAsia="Arial" w:hAnsi="Arial"/>
                <w:sz w:val="8"/>
                <w:szCs w:val="8"/>
                <w:b w:val="1"/>
                <w:bCs w:val="1"/>
                <w:color w:val="auto"/>
              </w:rPr>
              <w:t>and 5)</w:t>
            </w:r>
          </w:p>
        </w:tc>
        <w:tc>
          <w:tcPr>
            <w:tcW w:w="1500" w:type="dxa"/>
            <w:vAlign w:val="bottom"/>
          </w:tcPr>
          <w:p>
            <w:pPr>
              <w:spacing w:after="0"/>
              <w:rPr>
                <w:sz w:val="7"/>
                <w:szCs w:val="7"/>
                <w:color w:val="auto"/>
              </w:rPr>
            </w:pPr>
          </w:p>
        </w:tc>
      </w:tr>
    </w:tbl>
    <w:p>
      <w:pPr>
        <w:ind w:left="40"/>
        <w:spacing w:after="0" w:line="235" w:lineRule="auto"/>
        <w:rPr>
          <w:sz w:val="20"/>
          <w:szCs w:val="20"/>
          <w:color w:val="auto"/>
        </w:rPr>
      </w:pPr>
      <w:r>
        <w:rPr>
          <w:rFonts w:ascii="Times New Roman" w:cs="Times New Roman" w:eastAsia="Times New Roman" w:hAnsi="Times New Roman"/>
          <w:sz w:val="13"/>
          <w:szCs w:val="13"/>
          <w:color w:val="008000"/>
        </w:rPr>
        <w:t>4. The price reported in Column 4 is a weighted average sale price. These shares were sold in multiple transactions at prices ranging from $43.68 to $44.67 inclusive. The Reporting Person undertakes to</w:t>
      </w:r>
    </w:p>
    <w:tbl>
      <w:tblPr>
        <w:tblLayout w:type="fixed"/>
        <w:tblInd w:w="40" w:type="dxa"/>
        <w:tblCellMar>
          <w:top w:w="0" w:type="dxa"/>
          <w:left w:w="0" w:type="dxa"/>
          <w:bottom w:w="0" w:type="dxa"/>
          <w:right w:w="0" w:type="dxa"/>
        </w:tblCellMar>
      </w:tblPr>
      <w:tr>
        <w:trPr>
          <w:trHeight w:val="133"/>
        </w:trPr>
        <w:tc>
          <w:tcPr>
            <w:tcW w:w="10780" w:type="dxa"/>
            <w:vAlign w:val="bottom"/>
            <w:gridSpan w:val="4"/>
          </w:tcPr>
          <w:p>
            <w:pPr>
              <w:spacing w:after="0" w:line="133" w:lineRule="exact"/>
              <w:rPr>
                <w:sz w:val="20"/>
                <w:szCs w:val="20"/>
                <w:color w:val="auto"/>
              </w:rPr>
            </w:pPr>
            <w:r>
              <w:rPr>
                <w:rFonts w:ascii="Times New Roman" w:cs="Times New Roman" w:eastAsia="Times New Roman" w:hAnsi="Times New Roman"/>
                <w:sz w:val="13"/>
                <w:szCs w:val="13"/>
                <w:color w:val="008000"/>
              </w:rPr>
              <w:t>provide the Issuer, any security holder of the Issuer, or the staff of the Securities and Exchange Commission, upon request, full information regarding the number of shares sold at each separate price</w:t>
            </w:r>
          </w:p>
        </w:tc>
        <w:tc>
          <w:tcPr>
            <w:tcW w:w="0" w:type="dxa"/>
            <w:vAlign w:val="bottom"/>
          </w:tcPr>
          <w:p>
            <w:pPr>
              <w:spacing w:after="0"/>
              <w:rPr>
                <w:sz w:val="1"/>
                <w:szCs w:val="1"/>
                <w:color w:val="auto"/>
              </w:rPr>
            </w:pPr>
          </w:p>
        </w:tc>
      </w:tr>
      <w:tr>
        <w:trPr>
          <w:trHeight w:val="173"/>
        </w:trPr>
        <w:tc>
          <w:tcPr>
            <w:tcW w:w="4480" w:type="dxa"/>
            <w:vAlign w:val="bottom"/>
          </w:tcPr>
          <w:p>
            <w:pPr>
              <w:spacing w:after="0"/>
              <w:rPr>
                <w:sz w:val="20"/>
                <w:szCs w:val="20"/>
                <w:color w:val="auto"/>
              </w:rPr>
            </w:pPr>
            <w:r>
              <w:rPr>
                <w:rFonts w:ascii="Times New Roman" w:cs="Times New Roman" w:eastAsia="Times New Roman" w:hAnsi="Times New Roman"/>
                <w:sz w:val="13"/>
                <w:szCs w:val="13"/>
                <w:color w:val="008000"/>
              </w:rPr>
              <w:t>within the range set forth in this footnote.</w:t>
            </w:r>
          </w:p>
        </w:tc>
        <w:tc>
          <w:tcPr>
            <w:tcW w:w="1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94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Amount</w:t>
            </w:r>
          </w:p>
        </w:tc>
        <w:tc>
          <w:tcPr>
            <w:tcW w:w="0" w:type="dxa"/>
            <w:vAlign w:val="bottom"/>
          </w:tcPr>
          <w:p>
            <w:pPr>
              <w:spacing w:after="0"/>
              <w:rPr>
                <w:sz w:val="1"/>
                <w:szCs w:val="1"/>
                <w:color w:val="auto"/>
              </w:rPr>
            </w:pPr>
          </w:p>
        </w:tc>
      </w:tr>
      <w:tr>
        <w:trPr>
          <w:trHeight w:val="67"/>
        </w:trPr>
        <w:tc>
          <w:tcPr>
            <w:tcW w:w="44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10780" w:type="dxa"/>
            <w:vAlign w:val="bottom"/>
            <w:gridSpan w:val="4"/>
          </w:tcPr>
          <w:p>
            <w:pPr>
              <w:spacing w:after="0" w:line="93" w:lineRule="exact"/>
              <w:rPr>
                <w:sz w:val="20"/>
                <w:szCs w:val="20"/>
                <w:color w:val="auto"/>
              </w:rPr>
            </w:pPr>
            <w:r>
              <w:rPr>
                <w:rFonts w:ascii="Times New Roman" w:cs="Times New Roman" w:eastAsia="Times New Roman" w:hAnsi="Times New Roman"/>
                <w:sz w:val="10"/>
                <w:szCs w:val="10"/>
                <w:color w:val="008000"/>
              </w:rPr>
              <w:t>5. The price reported in Column 4 is a weighted average sale price. These shares were sold in multiple transactions at prices ranging from $44.68 to $45.64 inclusive. The Reporting Person undertakes to</w:t>
            </w:r>
          </w:p>
        </w:tc>
        <w:tc>
          <w:tcPr>
            <w:tcW w:w="0" w:type="dxa"/>
            <w:vAlign w:val="bottom"/>
          </w:tcPr>
          <w:p>
            <w:pPr>
              <w:spacing w:after="0"/>
              <w:rPr>
                <w:sz w:val="1"/>
                <w:szCs w:val="1"/>
                <w:color w:val="auto"/>
              </w:rPr>
            </w:pPr>
          </w:p>
        </w:tc>
      </w:tr>
      <w:tr>
        <w:trPr>
          <w:trHeight w:val="40"/>
        </w:trPr>
        <w:tc>
          <w:tcPr>
            <w:tcW w:w="44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940" w:type="dxa"/>
            <w:vAlign w:val="bottom"/>
          </w:tcPr>
          <w:p>
            <w:pPr>
              <w:ind w:left="460"/>
              <w:spacing w:after="0" w:line="40" w:lineRule="exact"/>
              <w:rPr>
                <w:sz w:val="20"/>
                <w:szCs w:val="20"/>
                <w:color w:val="auto"/>
              </w:rPr>
            </w:pPr>
            <w:r>
              <w:rPr>
                <w:rFonts w:ascii="Arial" w:cs="Arial" w:eastAsia="Arial" w:hAnsi="Arial"/>
                <w:sz w:val="4"/>
                <w:szCs w:val="4"/>
                <w:b w:val="1"/>
                <w:bCs w:val="1"/>
                <w:color w:val="auto"/>
              </w:rPr>
              <w:t>or</w:t>
            </w:r>
          </w:p>
        </w:tc>
        <w:tc>
          <w:tcPr>
            <w:tcW w:w="0" w:type="dxa"/>
            <w:vAlign w:val="bottom"/>
          </w:tcPr>
          <w:p>
            <w:pPr>
              <w:spacing w:after="0" w:line="20" w:lineRule="exact"/>
              <w:rPr>
                <w:sz w:val="1"/>
                <w:szCs w:val="1"/>
                <w:color w:val="auto"/>
              </w:rPr>
            </w:pPr>
          </w:p>
        </w:tc>
      </w:tr>
      <w:tr>
        <w:trPr>
          <w:trHeight w:val="107"/>
        </w:trPr>
        <w:tc>
          <w:tcPr>
            <w:tcW w:w="10780" w:type="dxa"/>
            <w:vAlign w:val="bottom"/>
            <w:gridSpan w:val="4"/>
          </w:tcPr>
          <w:p>
            <w:pPr>
              <w:spacing w:after="0" w:line="107" w:lineRule="exact"/>
              <w:rPr>
                <w:sz w:val="20"/>
                <w:szCs w:val="20"/>
                <w:color w:val="auto"/>
              </w:rPr>
            </w:pPr>
            <w:r>
              <w:rPr>
                <w:rFonts w:ascii="Times New Roman" w:cs="Times New Roman" w:eastAsia="Times New Roman" w:hAnsi="Times New Roman"/>
                <w:sz w:val="12"/>
                <w:szCs w:val="12"/>
                <w:color w:val="008000"/>
              </w:rPr>
              <w:t>provide the Issuer, any security holder of the Issuer, or the staff of the Securities and Exchange Commission, upon request, full information regarding the number of shares sold at each separate price</w:t>
            </w:r>
          </w:p>
        </w:tc>
        <w:tc>
          <w:tcPr>
            <w:tcW w:w="0" w:type="dxa"/>
            <w:vAlign w:val="bottom"/>
          </w:tcPr>
          <w:p>
            <w:pPr>
              <w:spacing w:after="0"/>
              <w:rPr>
                <w:sz w:val="1"/>
                <w:szCs w:val="1"/>
                <w:color w:val="auto"/>
              </w:rPr>
            </w:pPr>
          </w:p>
        </w:tc>
      </w:tr>
      <w:tr>
        <w:trPr>
          <w:trHeight w:val="39"/>
        </w:trPr>
        <w:tc>
          <w:tcPr>
            <w:tcW w:w="4480" w:type="dxa"/>
            <w:vAlign w:val="bottom"/>
            <w:vMerge w:val="restart"/>
          </w:tcPr>
          <w:p>
            <w:pPr>
              <w:spacing w:after="0"/>
              <w:rPr>
                <w:sz w:val="20"/>
                <w:szCs w:val="20"/>
                <w:color w:val="auto"/>
              </w:rPr>
            </w:pPr>
            <w:r>
              <w:rPr>
                <w:rFonts w:ascii="Times New Roman" w:cs="Times New Roman" w:eastAsia="Times New Roman" w:hAnsi="Times New Roman"/>
                <w:sz w:val="13"/>
                <w:szCs w:val="13"/>
                <w:color w:val="008000"/>
              </w:rPr>
              <w:t>within the range set forth in this footnote.</w:t>
            </w:r>
          </w:p>
        </w:tc>
        <w:tc>
          <w:tcPr>
            <w:tcW w:w="1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940" w:type="dxa"/>
            <w:vAlign w:val="bottom"/>
          </w:tcPr>
          <w:p>
            <w:pPr>
              <w:ind w:left="460"/>
              <w:spacing w:after="0" w:line="40" w:lineRule="exact"/>
              <w:rPr>
                <w:sz w:val="20"/>
                <w:szCs w:val="20"/>
                <w:color w:val="auto"/>
              </w:rPr>
            </w:pPr>
            <w:r>
              <w:rPr>
                <w:rFonts w:ascii="Arial" w:cs="Arial" w:eastAsia="Arial" w:hAnsi="Arial"/>
                <w:sz w:val="4"/>
                <w:szCs w:val="4"/>
                <w:b w:val="1"/>
                <w:bCs w:val="1"/>
                <w:color w:val="auto"/>
              </w:rPr>
              <w:t>Number</w:t>
            </w:r>
          </w:p>
        </w:tc>
        <w:tc>
          <w:tcPr>
            <w:tcW w:w="0" w:type="dxa"/>
            <w:vAlign w:val="bottom"/>
          </w:tcPr>
          <w:p>
            <w:pPr>
              <w:spacing w:after="0" w:line="20" w:lineRule="exact"/>
              <w:rPr>
                <w:sz w:val="1"/>
                <w:szCs w:val="1"/>
                <w:color w:val="auto"/>
              </w:rPr>
            </w:pPr>
          </w:p>
        </w:tc>
      </w:tr>
      <w:tr>
        <w:trPr>
          <w:trHeight w:val="133"/>
        </w:trPr>
        <w:tc>
          <w:tcPr>
            <w:tcW w:w="4480" w:type="dxa"/>
            <w:vAlign w:val="bottom"/>
            <w:vMerge w:val="continue"/>
          </w:tcPr>
          <w:p>
            <w:pPr>
              <w:spacing w:after="0"/>
              <w:rPr>
                <w:sz w:val="11"/>
                <w:szCs w:val="11"/>
                <w:color w:val="auto"/>
              </w:rPr>
            </w:pPr>
          </w:p>
        </w:tc>
        <w:tc>
          <w:tcPr>
            <w:tcW w:w="1620" w:type="dxa"/>
            <w:vAlign w:val="bottom"/>
          </w:tcPr>
          <w:p>
            <w:pPr>
              <w:ind w:left="88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39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0" w:type="dxa"/>
            <w:vAlign w:val="bottom"/>
          </w:tcPr>
          <w:p>
            <w:pPr>
              <w:spacing w:after="0"/>
              <w:rPr>
                <w:sz w:val="1"/>
                <w:szCs w:val="1"/>
                <w:color w:val="auto"/>
              </w:rPr>
            </w:pPr>
          </w:p>
        </w:tc>
      </w:tr>
      <w:tr>
        <w:trPr>
          <w:trHeight w:val="55"/>
        </w:trPr>
        <w:tc>
          <w:tcPr>
            <w:tcW w:w="4480" w:type="dxa"/>
            <w:vAlign w:val="bottom"/>
          </w:tcPr>
          <w:p>
            <w:pPr>
              <w:ind w:left="3800"/>
              <w:spacing w:after="0" w:line="55" w:lineRule="exact"/>
              <w:rPr>
                <w:sz w:val="20"/>
                <w:szCs w:val="20"/>
                <w:color w:val="auto"/>
              </w:rPr>
            </w:pPr>
            <w:r>
              <w:rPr>
                <w:rFonts w:ascii="Arial" w:cs="Arial" w:eastAsia="Arial" w:hAnsi="Arial"/>
                <w:sz w:val="6"/>
                <w:szCs w:val="6"/>
                <w:b w:val="1"/>
                <w:bCs w:val="1"/>
                <w:color w:val="auto"/>
              </w:rPr>
              <w:t>Code  V</w:t>
            </w:r>
          </w:p>
        </w:tc>
        <w:tc>
          <w:tcPr>
            <w:tcW w:w="1620" w:type="dxa"/>
            <w:vAlign w:val="bottom"/>
          </w:tcPr>
          <w:p>
            <w:pPr>
              <w:ind w:left="160"/>
              <w:spacing w:after="0" w:line="55" w:lineRule="exact"/>
              <w:rPr>
                <w:sz w:val="20"/>
                <w:szCs w:val="20"/>
                <w:color w:val="auto"/>
              </w:rPr>
            </w:pPr>
            <w:r>
              <w:rPr>
                <w:rFonts w:ascii="Arial" w:cs="Arial" w:eastAsia="Arial" w:hAnsi="Arial"/>
                <w:sz w:val="6"/>
                <w:szCs w:val="6"/>
                <w:b w:val="1"/>
                <w:bCs w:val="1"/>
                <w:color w:val="auto"/>
              </w:rPr>
              <w:t>(A)   (D)   Exercisable</w:t>
            </w:r>
          </w:p>
        </w:tc>
        <w:tc>
          <w:tcPr>
            <w:tcW w:w="740" w:type="dxa"/>
            <w:vAlign w:val="bottom"/>
          </w:tcPr>
          <w:p>
            <w:pPr>
              <w:ind w:left="80"/>
              <w:spacing w:after="0" w:line="55" w:lineRule="exact"/>
              <w:rPr>
                <w:sz w:val="20"/>
                <w:szCs w:val="20"/>
                <w:color w:val="auto"/>
              </w:rPr>
            </w:pPr>
            <w:r>
              <w:rPr>
                <w:rFonts w:ascii="Arial" w:cs="Arial" w:eastAsia="Arial" w:hAnsi="Arial"/>
                <w:sz w:val="6"/>
                <w:szCs w:val="6"/>
                <w:b w:val="1"/>
                <w:bCs w:val="1"/>
                <w:color w:val="auto"/>
              </w:rPr>
              <w:t>Date</w:t>
            </w:r>
          </w:p>
        </w:tc>
        <w:tc>
          <w:tcPr>
            <w:tcW w:w="3940" w:type="dxa"/>
            <w:vAlign w:val="bottom"/>
          </w:tcPr>
          <w:p>
            <w:pPr>
              <w:ind w:left="60"/>
              <w:spacing w:after="0" w:line="55" w:lineRule="exact"/>
              <w:rPr>
                <w:sz w:val="20"/>
                <w:szCs w:val="20"/>
                <w:color w:val="auto"/>
              </w:rPr>
            </w:pPr>
            <w:r>
              <w:rPr>
                <w:rFonts w:ascii="Arial" w:cs="Arial" w:eastAsia="Arial" w:hAnsi="Arial"/>
                <w:sz w:val="6"/>
                <w:szCs w:val="6"/>
                <w:b w:val="1"/>
                <w:bCs w:val="1"/>
                <w:color w:val="auto"/>
              </w:rPr>
              <w:t>Title  Shares</w:t>
            </w:r>
          </w:p>
        </w:tc>
        <w:tc>
          <w:tcPr>
            <w:tcW w:w="0" w:type="dxa"/>
            <w:vAlign w:val="bottom"/>
          </w:tcPr>
          <w:p>
            <w:pPr>
              <w:spacing w:after="0"/>
              <w:rPr>
                <w:sz w:val="1"/>
                <w:szCs w:val="1"/>
                <w:color w:val="auto"/>
              </w:rPr>
            </w:pPr>
          </w:p>
        </w:tc>
      </w:tr>
    </w:tbl>
    <w:p>
      <w:pPr>
        <w:ind w:left="40"/>
        <w:spacing w:after="0" w:line="235" w:lineRule="auto"/>
        <w:rPr>
          <w:sz w:val="20"/>
          <w:szCs w:val="20"/>
          <w:color w:val="auto"/>
        </w:rPr>
      </w:pPr>
      <w:r>
        <w:rPr>
          <w:rFonts w:ascii="Times New Roman" w:cs="Times New Roman" w:eastAsia="Times New Roman" w:hAnsi="Times New Roman"/>
          <w:sz w:val="13"/>
          <w:szCs w:val="13"/>
          <w:color w:val="008000"/>
        </w:rPr>
        <w:t>6. The price reported in Column 4 is a weighted average sale price. These shares were sold in multiple transactions at prices ranging from $46.68 to $47.63 inclusive. The Reporting Person undertakes to</w:t>
      </w:r>
    </w:p>
    <w:p>
      <w:pPr>
        <w:ind w:left="40" w:right="480"/>
        <w:spacing w:after="0" w:line="250" w:lineRule="auto"/>
        <w:rPr>
          <w:sz w:val="20"/>
          <w:szCs w:val="20"/>
          <w:color w:val="auto"/>
        </w:rPr>
      </w:pPr>
      <w:r>
        <w:rPr>
          <w:rFonts w:ascii="Times New Roman" w:cs="Times New Roman" w:eastAsia="Times New Roman" w:hAnsi="Times New Roman"/>
          <w:sz w:val="13"/>
          <w:szCs w:val="13"/>
          <w:color w:val="008000"/>
        </w:rPr>
        <w:t>provide the Issuer, any security holder of the Issuer, or the staff of the Securities and Exchange Commission, upon request, full information regarding the number of shares sold at each separate price within the range set forth in this footnote.</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Paul Alpern, as Attorney-</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07/02/2026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S. Atiq Raza</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6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7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184563" TargetMode="External"/><Relationship Id="rId14" Type="http://schemas.openxmlformats.org/officeDocument/2006/relationships/hyperlink" Target="http://www.sec.gov/cgi-bin/browse-edgar?action=getcompany&amp;CIK=00016670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2026-07-02T15:19:09Z</dcterms:created>
  <dcterms:modified xsi:type="dcterms:W3CDTF">2026-07-02T15:19:09Z</dcterms:modified>
</cp:coreProperties>
</file>