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163d8k.htm"/>
      <w:bookmarkStart w:id="1" w:name="ksd1481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ARTERIS,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001-40960</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27-0117058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960" w:type="dxa"/>
        <w:jc w:val="left"/>
        <w:tblInd w:w="0" w:type="dxa"/>
        <w:tblLayout w:type="fixed"/>
        <w:tblCellMar>
          <w:top w:w="0" w:type="dxa"/>
          <w:left w:w="0" w:type="dxa"/>
          <w:bottom w:w="0" w:type="dxa"/>
          <w:right w:w="0" w:type="dxa"/>
        </w:tblCellMar>
      </w:tblPr>
      <w:tblGrid>
        <w:gridCol w:w="5960"/>
      </w:tblGrid>
      <w:tr>
        <w:trPr/>
        <w:tc>
          <w:tcPr>
            <w:tcW w:w="596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center"/>
              <w:rPr>
                <w:b/>
              </w:rPr>
            </w:pPr>
            <w:r>
              <w:rPr>
                <w:b/>
              </w:rPr>
              <w:t>900 E. Hamilton Avenue Suite 300</w:t>
            </w:r>
          </w:p>
        </w:tc>
      </w:tr>
      <w:tr>
        <w:trPr/>
        <w:tc>
          <w:tcPr>
            <w:tcW w:w="5960" w:type="dxa"/>
            <w:tcBorders/>
            <w:vAlign w:val="center"/>
          </w:tcPr>
          <w:p>
            <w:pPr>
              <w:pStyle w:val="TableContents"/>
              <w:bidi w:val="0"/>
              <w:spacing w:before="0" w:after="283"/>
              <w:jc w:val="center"/>
              <w:rPr>
                <w:b/>
              </w:rPr>
            </w:pPr>
            <w:r>
              <w:rPr>
                <w:b/>
              </w:rPr>
              <w:t>Campbell, CA 95008</w:t>
            </w:r>
          </w:p>
        </w:tc>
      </w:tr>
      <w:tr>
        <w:trPr/>
        <w:tc>
          <w:tcPr>
            <w:tcW w:w="596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(408) 470-7300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4145"/>
        <w:gridCol w:w="60"/>
        <w:gridCol w:w="740"/>
        <w:gridCol w:w="60"/>
        <w:gridCol w:w="25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AIP</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of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the Board of Directors (the “Board”) of Arteris, Inc. (the “Company”) appointed Saurabh Sinha as the Company’s Chief Financial Officer, effective as of September 8, 2026 (the “Start Date”). Mr. Sinha will also serve as the Company’s principal financial officer and principal accounting officer. Prior to this appointment, Mr. Sinha had served as Aeva Technologies, Inc.’s Chief Financial Officer since September 2020. Prior to joining Aeva, Mr. Sinha was the Chief Accounting Officer of JUUL Labs from July 2018 to August 2020 and served as its interim Chief Financial Officer from January 2020 to May 2020. Prior to joining JUUL Labs, Mr. Sinha held various finance leadership roles, from March 2014 to June 2018, at InvenSense Inc., a motion sensors company. Mr. Sinha received his Bachelor of Commerce degree from the University of Delhi, India and his Master of Business Administration from The Wharton School of the University of Pennsylvania.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entered into an offer letter with Mr. Sinha dated July 16, 2026 (the “Offer Letter”) which provides that, among other things, Mr. Sinha will receive an annual base salary of $440,000, and will be eligible to participate in the Company’s Management Performance Bonus Plan with a target bonus opportunity of 60% of Mr. Sinha’s annual base salary, based on the attainment of one or more pre-established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As a material inducement for Mr. Sinha to accept the terms and conditions of the Offer Letter and enter into an employment relationship with the Company as its CFO, the Offer Letter provides for the grant to Mr. Sinha of the following two equity awards which are intended to be granted under the Company’s 2022 Employment Inducement Incentive Plan effective as of the Start Date: (1) an award of performance stock units with a target grant value of $1,000,000 and which will be eligible to vest based upon (i) the Company achieving annual trailing four (4) quarters’ publicly reported revenue of $200,000,000 or greater at any time on or before December 31, 2030, and, subsequently, (ii) the Company’s common stock achieving a closing share price of $65 or greater, calculated as an average over a trading period of fifteen (15) trading days, at any time on or before December 31, 2031, subject to Mr. Sinha’s continued service through the applicable vesting date (the “2026 PSU”), and (2) an award of Restricted Stock Units with a target grant value of $3,700,000 (the “RSU”) which will vest over four (4) years, with 25% of the shares vesting on the anniversary of the grant date, and the remaining RSUs vesting pro rata by day on the first day of each 12 consecutive quarters thereafter and aligned with fiscal quarterly vesting commencing January 1, 2028. </w:t>
      </w:r>
    </w:p>
    <w:p>
      <w:pPr>
        <w:pStyle w:val="TextBody"/>
        <w:bidi w:val="0"/>
        <w:spacing w:before="240" w:after="0"/>
        <w:jc w:val="left"/>
        <w:rPr>
          <w:rFonts w:ascii="Times New Roman" w:hAnsi="Times New Roman"/>
          <w:sz w:val="20"/>
        </w:rPr>
      </w:pPr>
      <w:r>
        <w:rPr>
          <w:rFonts w:ascii="Times New Roman" w:hAnsi="Times New Roman"/>
          <w:sz w:val="20"/>
        </w:rPr>
        <w:t xml:space="preserve">The Offer Letter also provides for the grant to Mr. Sinha of a performance stock unit award with a target grant value of $1,000,000 that will vest based on performance metrics established under the Company’s Long-Term Incentive Program (“LTIP”) for the performance period beginning January 1, 2027 (the “2027 PSU”). The Company intends to recommend to the Board that the 2027 PSU be granted pursuant to the Company’s 2021 equity incentive plan at the same time as the Company’s 2027 focal grants are awarded to the Company’s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to be subject to the 2026 and 2027 PSUs and the RSU will be determined by dividing the target grant values of $1,000,000 and $3,700,000, respectively, by the 30-day trailing average of the Company’s common stock price immediately prior to the effective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The Offer Letter Provides that Mr. Sinha will be eligible to enter into the Company’s Form of Executive Change in Control Severance Agreement and Form of Indemnification Agreement, copies of which have been included as Exhibit 10.12 and Exhibit 10.14, respectively, to the Company’s Annual Report on Form 10-K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Mr. Sinha has no family relationship with any director or executive officer of the Company, or any person nominated or chosen by the Company to become a director or executive officer. In addition, he is not party to any transaction required to be disclosed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Mr. Sinha’s compensation arrangement with the Company is qualified in its entirety to the offer letter filed as Exhibit 10.1 to this Report, and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3265" w:type="dxa"/>
        <w:jc w:val="left"/>
        <w:tblInd w:w="0" w:type="dxa"/>
        <w:tblLayout w:type="fixed"/>
        <w:tblCellMar>
          <w:top w:w="0" w:type="dxa"/>
          <w:left w:w="0" w:type="dxa"/>
          <w:bottom w:w="0" w:type="dxa"/>
          <w:right w:w="0" w:type="dxa"/>
        </w:tblCellMar>
      </w:tblPr>
      <w:tblGrid>
        <w:gridCol w:w="1025"/>
        <w:gridCol w:w="2240"/>
      </w:tblGrid>
      <w:tr>
        <w:trPr/>
        <w:tc>
          <w:tcPr>
            <w:tcW w:w="102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the Company issued a press release announcing the leadership change described above. A copy of the press release is attached as Exhibit 99.1 to this Current Report on Form 8-K and incorporated into this Section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shall not be deemed to be “filed” for purposes of Section 18 of the Securities Exchange Act of 1934, as amended (the “Exchange Act”), or otherwise subject to the liabilities of that section, nor shall it be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 is filed herewith and this list is intended to constitute the exhibit index. </w:t>
      </w:r>
    </w:p>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890"/>
        <w:gridCol w:w="120"/>
        <w:gridCol w:w="762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8163dex101.htm">
              <w:r>
                <w:rPr>
                  <w:rStyle w:val="InternetLink"/>
                </w:rPr>
                <w:t xml:space="preserve">Offer Letter between Arteris, Inc. and Saurabh Sinha, dated July 16,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8163dex991.htm">
              <w:r>
                <w:rPr>
                  <w:rStyle w:val="InternetLink"/>
                </w:rPr>
                <w:t xml:space="preserve">Press Release dated August 6,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August 6, 2026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10"/>
        <w:gridCol w:w="60"/>
        <w:gridCol w:w="2300"/>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b/>
              </w:rPr>
            </w:pPr>
            <w:r>
              <w:rPr>
                <w:b/>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 Charles Janac</w:t>
            </w:r>
          </w:p>
        </w:tc>
      </w:tr>
      <w:tr>
        <w:trPr/>
        <w:tc>
          <w:tcPr>
            <w:tcW w:w="710" w:type="dxa"/>
            <w:tcBorders/>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K. Charles Janac</w:t>
            </w:r>
          </w:p>
        </w:tc>
      </w:tr>
      <w:tr>
        <w:trPr/>
        <w:tc>
          <w:tcPr>
            <w:tcW w:w="710" w:type="dxa"/>
            <w:tcBorders/>
            <w:vAlign w:val="center"/>
          </w:tcPr>
          <w:p>
            <w:pPr>
              <w:pStyle w:val="TableContents"/>
              <w:bidi w:val="0"/>
              <w:spacing w:before="0" w:after="283"/>
              <w:jc w:val="left"/>
              <w:rPr>
                <w:b/>
              </w:rPr>
            </w:pPr>
            <w:r>
              <w:rPr>
                <w:b/>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148163dex101.htm"/>
      <w:bookmarkStart w:id="3" w:name="ksd148163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35267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409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PRIVATE AND CONFIDENTIAL </w:t>
      </w:r>
    </w:p>
    <w:p>
      <w:pPr>
        <w:pStyle w:val="TextBody"/>
        <w:bidi w:val="0"/>
        <w:spacing w:before="240" w:after="0"/>
        <w:jc w:val="left"/>
        <w:rPr>
          <w:rFonts w:ascii="Times New Roman" w:hAnsi="Times New Roman"/>
          <w:sz w:val="20"/>
        </w:rPr>
      </w:pPr>
      <w:r>
        <w:rPr>
          <w:rFonts w:ascii="Times New Roman" w:hAnsi="Times New Roman"/>
          <w:sz w:val="20"/>
        </w:rPr>
        <w:t xml:space="preserve">July 16, 2026 </w:t>
      </w:r>
    </w:p>
    <w:p>
      <w:pPr>
        <w:pStyle w:val="TextBody"/>
        <w:bidi w:val="0"/>
        <w:spacing w:before="0" w:after="0"/>
        <w:jc w:val="left"/>
        <w:rPr>
          <w:rFonts w:ascii="Times New Roman" w:hAnsi="Times New Roman"/>
          <w:sz w:val="20"/>
        </w:rPr>
      </w:pPr>
      <w:r>
        <w:rPr>
          <w:rFonts w:ascii="Times New Roman" w:hAnsi="Times New Roman"/>
          <w:sz w:val="20"/>
        </w:rPr>
        <w:t xml:space="preserve">Revised June 19, 2026 </w:t>
      </w:r>
    </w:p>
    <w:p>
      <w:pPr>
        <w:pStyle w:val="TextBody"/>
        <w:bidi w:val="0"/>
        <w:spacing w:before="240" w:after="0"/>
        <w:jc w:val="left"/>
        <w:rPr>
          <w:rFonts w:ascii="Times New Roman" w:hAnsi="Times New Roman"/>
          <w:sz w:val="20"/>
        </w:rPr>
      </w:pPr>
      <w:r>
        <w:rPr>
          <w:rFonts w:ascii="Times New Roman" w:hAnsi="Times New Roman"/>
          <w:sz w:val="20"/>
        </w:rPr>
        <w:t xml:space="preserve">Saurabh Sinha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Saurabh: </w:t>
      </w:r>
    </w:p>
    <w:p>
      <w:pPr>
        <w:pStyle w:val="TextBody"/>
        <w:bidi w:val="0"/>
        <w:spacing w:before="120" w:after="0"/>
        <w:jc w:val="left"/>
        <w:rPr>
          <w:rFonts w:ascii="Times New Roman" w:hAnsi="Times New Roman"/>
          <w:sz w:val="20"/>
        </w:rPr>
      </w:pPr>
      <w:r>
        <w:rPr>
          <w:rFonts w:ascii="Times New Roman" w:hAnsi="Times New Roman"/>
          <w:sz w:val="20"/>
        </w:rPr>
        <w:t>We are pleased to present the following offer of employment with Arteris, Inc. (“</w:t>
      </w:r>
      <w:r>
        <w:rPr>
          <w:rFonts w:ascii="Times New Roman" w:hAnsi="Times New Roman"/>
          <w:b/>
          <w:sz w:val="20"/>
        </w:rPr>
        <w:t>Arteris</w:t>
      </w:r>
      <w:r>
        <w:rPr>
          <w:rFonts w:ascii="Times New Roman" w:hAnsi="Times New Roman"/>
          <w:sz w:val="20"/>
        </w:rPr>
        <w:t xml:space="preserve">” </w:t>
      </w:r>
      <w:r>
        <w:rPr>
          <w:rFonts w:ascii="Times New Roman" w:hAnsi="Times New Roman"/>
          <w:b/>
          <w:sz w:val="20"/>
        </w:rPr>
        <w:t>or the “Company</w:t>
      </w:r>
      <w:r>
        <w:rPr>
          <w:rFonts w:ascii="Times New Roman" w:hAnsi="Times New Roman"/>
          <w:sz w:val="20"/>
        </w:rPr>
        <w:t xml:space="preserve">”). This letter will summarize and confirm the details of our offer for you to join Arteris, in the position of </w:t>
      </w:r>
      <w:r>
        <w:rPr>
          <w:rFonts w:ascii="Times New Roman" w:hAnsi="Times New Roman"/>
          <w:b/>
          <w:sz w:val="20"/>
        </w:rPr>
        <w:t xml:space="preserve">Chief Financial Officer, </w:t>
      </w:r>
      <w:r>
        <w:rPr>
          <w:rFonts w:ascii="Times New Roman" w:hAnsi="Times New Roman"/>
          <w:sz w:val="20"/>
        </w:rPr>
        <w:t xml:space="preserve">commencing on or about </w:t>
      </w:r>
      <w:r>
        <w:rPr>
          <w:rFonts w:ascii="Times New Roman" w:hAnsi="Times New Roman"/>
          <w:b/>
          <w:sz w:val="20"/>
        </w:rPr>
        <w:t>September</w:t>
      </w:r>
      <w:r>
        <w:rPr>
          <w:rFonts w:ascii="Times New Roman" w:hAnsi="Times New Roman"/>
          <w:sz w:val="20"/>
        </w:rPr>
        <w:t> </w:t>
      </w:r>
      <w:r>
        <w:rPr>
          <w:rFonts w:ascii="Times New Roman" w:hAnsi="Times New Roman"/>
          <w:b/>
          <w:sz w:val="20"/>
        </w:rPr>
        <w:t xml:space="preserve">2, 2026 </w:t>
      </w:r>
      <w:r>
        <w:rPr>
          <w:rFonts w:ascii="Times New Roman" w:hAnsi="Times New Roman"/>
          <w:sz w:val="20"/>
        </w:rPr>
        <w:t>(the date you actually commence employment, the “Start Date”)</w:t>
      </w:r>
      <w:r>
        <w:rPr>
          <w:rFonts w:ascii="Times New Roman" w:hAnsi="Times New Roman"/>
          <w:b/>
          <w:sz w:val="20"/>
        </w:rPr>
        <w:t xml:space="preserve">, </w:t>
      </w:r>
      <w:r>
        <w:rPr>
          <w:rFonts w:ascii="Times New Roman" w:hAnsi="Times New Roman"/>
          <w:sz w:val="20"/>
        </w:rPr>
        <w:t xml:space="preserve">and reporting to </w:t>
      </w:r>
      <w:r>
        <w:rPr>
          <w:rFonts w:ascii="Times New Roman" w:hAnsi="Times New Roman"/>
          <w:b/>
          <w:sz w:val="20"/>
        </w:rPr>
        <w:t xml:space="preserve">Charlie Janac, CEO. </w:t>
      </w:r>
      <w:r>
        <w:rPr>
          <w:rFonts w:ascii="Times New Roman" w:hAnsi="Times New Roman"/>
          <w:sz w:val="20"/>
        </w:rPr>
        <w:t xml:space="preserve">You will perform the duties and responsibilities of this position, as well as additional duties and responsibilities as Arteris assigns to you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You will be employed by Arteris working in our </w:t>
      </w:r>
      <w:r>
        <w:rPr>
          <w:rFonts w:ascii="Times New Roman" w:hAnsi="Times New Roman"/>
          <w:b/>
          <w:sz w:val="20"/>
        </w:rPr>
        <w:t xml:space="preserve">Campbell, CA, </w:t>
      </w:r>
      <w:r>
        <w:rPr>
          <w:rFonts w:ascii="Times New Roman" w:hAnsi="Times New Roman"/>
          <w:sz w:val="20"/>
        </w:rPr>
        <w:t xml:space="preserve">office, or such other place as may be agreed with your manager from time to time. This is a regular full-time, salaried, exempt employee position, which does not qualify you for overtime pay. Arteris requires that, as a full-time employee, you devote your full business time, attention, skills and efforts to the tasks and duties of your position as assigned by the Company. You agree that, during the term of your employment with Arteris and unless expressly otherwise agreed in writing by your manager, HR and Legal, you will not engage in any other employment, occupation, or consulting directly related to the business in which the Company is now involved or becomes involved during the term of your employment, nor will you engage in any other activities that conflict with your obligations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Here are the specific details of our offer: </w:t>
      </w:r>
    </w:p>
    <w:p>
      <w:pPr>
        <w:pStyle w:val="TextBody"/>
        <w:bidi w:val="0"/>
        <w:spacing w:before="240" w:after="0"/>
        <w:jc w:val="left"/>
        <w:rPr>
          <w:rFonts w:ascii="Times New Roman" w:hAnsi="Times New Roman"/>
          <w:sz w:val="20"/>
        </w:rPr>
      </w:pPr>
      <w:r>
        <w:rPr>
          <w:rFonts w:ascii="Times New Roman" w:hAnsi="Times New Roman"/>
          <w:b/>
          <w:sz w:val="20"/>
          <w:u w:val="single"/>
        </w:rPr>
        <w:t>Base Compensation</w:t>
      </w:r>
      <w:r>
        <w:rPr>
          <w:rFonts w:ascii="Times New Roman" w:hAnsi="Times New Roman"/>
          <w:b/>
          <w:sz w:val="20"/>
        </w:rPr>
        <w:t xml:space="preserve">: </w:t>
      </w:r>
      <w:r>
        <w:rPr>
          <w:rFonts w:ascii="Times New Roman" w:hAnsi="Times New Roman"/>
          <w:sz w:val="20"/>
        </w:rPr>
        <w:t xml:space="preserve">Your starting gross semi-monthly salary will be </w:t>
      </w:r>
      <w:r>
        <w:rPr>
          <w:rFonts w:ascii="Times New Roman" w:hAnsi="Times New Roman"/>
          <w:b/>
          <w:sz w:val="20"/>
        </w:rPr>
        <w:t>$18,333.34</w:t>
      </w:r>
      <w:r>
        <w:rPr>
          <w:rFonts w:ascii="Times New Roman" w:hAnsi="Times New Roman"/>
          <w:sz w:val="20"/>
        </w:rPr>
        <w:t xml:space="preserve">, equivalent to an annualized gross amount of </w:t>
      </w:r>
      <w:r>
        <w:rPr>
          <w:rFonts w:ascii="Times New Roman" w:hAnsi="Times New Roman"/>
          <w:b/>
          <w:sz w:val="20"/>
        </w:rPr>
        <w:t>$440,000.00</w:t>
      </w:r>
      <w:r>
        <w:rPr>
          <w:rFonts w:ascii="Times New Roman" w:hAnsi="Times New Roman"/>
          <w:sz w:val="20"/>
        </w:rPr>
        <w:t xml:space="preserve">, which will be payable according to the regular payroll practices of the Company. Future salary adjustments will be determined by the Company in its sole discretion. </w:t>
      </w:r>
    </w:p>
    <w:p>
      <w:pPr>
        <w:pStyle w:val="TextBody"/>
        <w:bidi w:val="0"/>
        <w:spacing w:before="240" w:after="0"/>
        <w:jc w:val="left"/>
        <w:rPr>
          <w:rFonts w:ascii="Times New Roman" w:hAnsi="Times New Roman"/>
          <w:sz w:val="20"/>
        </w:rPr>
      </w:pPr>
      <w:r>
        <w:rPr>
          <w:rFonts w:ascii="Times New Roman" w:hAnsi="Times New Roman"/>
          <w:b/>
          <w:sz w:val="20"/>
          <w:u w:val="single"/>
        </w:rPr>
        <w:t>Annual Management Performance Bonus</w:t>
      </w:r>
      <w:r>
        <w:rPr>
          <w:rFonts w:ascii="Times New Roman" w:hAnsi="Times New Roman"/>
          <w:b/>
          <w:sz w:val="20"/>
        </w:rPr>
        <w:t xml:space="preserve">: </w:t>
      </w:r>
      <w:r>
        <w:rPr>
          <w:rFonts w:ascii="Times New Roman" w:hAnsi="Times New Roman"/>
          <w:sz w:val="20"/>
        </w:rPr>
        <w:t xml:space="preserve">You will be eligible to participate in the Company’s Annual Management Performance Bonus Plan, with a target bonus opportunity equal to </w:t>
      </w:r>
      <w:r>
        <w:rPr>
          <w:rFonts w:ascii="Times New Roman" w:hAnsi="Times New Roman"/>
          <w:b/>
          <w:sz w:val="20"/>
        </w:rPr>
        <w:t xml:space="preserve">60% </w:t>
      </w:r>
      <w:r>
        <w:rPr>
          <w:rFonts w:ascii="Times New Roman" w:hAnsi="Times New Roman"/>
          <w:sz w:val="20"/>
        </w:rPr>
        <w:t xml:space="preserve">of your annual base salary, subject to applicable tax withholdings and deductions (the “Performance Bonus”). The Performance Bonus is discretionary and is not guaranteed. Any Performance Bonus earned will be based on both your individual performance and the Company’s achievement of applicable corporate goals and objectives, as determined by the Company. Details of the current plan goals and objectives will be communicated following your date of hire. If you are hired after the beginning of the applicable bonus plan year, any Performance Bonus for your first year of participation will be prorated based on your date of hire, subject to the terms of the plan. To be eligible to receive any Performance Bonus, you must be actively employed by the Company and in good standing on the Performance Bonus payment date.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Arteris, Inc. </w:t>
      </w:r>
    </w:p>
    <w:p>
      <w:pPr>
        <w:pStyle w:val="TextBody"/>
        <w:bidi w:val="0"/>
        <w:spacing w:before="0" w:after="0"/>
        <w:jc w:val="center"/>
        <w:rPr>
          <w:rFonts w:ascii="Times New Roman" w:hAnsi="Times New Roman"/>
          <w:sz w:val="20"/>
        </w:rPr>
      </w:pPr>
      <w:r>
        <w:rPr>
          <w:rFonts w:ascii="Times New Roman" w:hAnsi="Times New Roman"/>
          <w:sz w:val="20"/>
        </w:rPr>
        <w:t xml:space="preserve">900 E. Hamilton Avenue, Suite 300, Campbell, CA 95008 </w:t>
      </w:r>
    </w:p>
    <w:p>
      <w:pPr>
        <w:pStyle w:val="TextBody"/>
        <w:bidi w:val="0"/>
        <w:spacing w:before="0" w:after="0"/>
        <w:jc w:val="center"/>
        <w:rPr>
          <w:rFonts w:ascii="Times New Roman" w:hAnsi="Times New Roman"/>
          <w:sz w:val="20"/>
        </w:rPr>
      </w:pPr>
      <w:r>
        <w:rPr>
          <w:rFonts w:ascii="Times New Roman" w:hAnsi="Times New Roman"/>
          <w:sz w:val="20"/>
        </w:rPr>
        <w:t xml:space="preserve">+1 408 470-7300 </w:t>
      </w:r>
    </w:p>
    <w:p>
      <w:pPr>
        <w:pStyle w:val="TextBody"/>
        <w:bidi w:val="0"/>
        <w:spacing w:before="0" w:after="0"/>
        <w:jc w:val="center"/>
        <w:rPr>
          <w:rFonts w:ascii="Times New Roman" w:hAnsi="Times New Roman"/>
          <w:sz w:val="20"/>
        </w:rPr>
      </w:pPr>
      <w:r>
        <w:rPr>
          <w:rFonts w:ascii="Times New Roman" w:hAnsi="Times New Roman"/>
          <w:sz w:val="20"/>
        </w:rPr>
        <w:t xml:space="preserve">arteris.com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623"/>
        <w:gridCol w:w="122"/>
        <w:gridCol w:w="4460"/>
      </w:tblGrid>
      <w:tr>
        <w:trPr/>
        <w:tc>
          <w:tcPr>
            <w:tcW w:w="56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r>
      <w:tr>
        <w:trPr/>
        <w:tc>
          <w:tcPr>
            <w:tcW w:w="5623" w:type="dxa"/>
            <w:tcBorders/>
          </w:tcPr>
          <w:p>
            <w:pPr>
              <w:pStyle w:val="TableContents"/>
              <w:bidi w:val="0"/>
              <w:spacing w:before="0" w:after="283"/>
              <w:jc w:val="left"/>
              <w:rPr/>
            </w:pPr>
            <w:r>
              <w:rPr/>
              <w:drawing>
                <wp:inline distT="0" distB="0" distL="0" distR="0">
                  <wp:extent cx="235267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52675" cy="40957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460" w:type="dxa"/>
            <w:tcBorders/>
            <w:vAlign w:val="bottom"/>
          </w:tcPr>
          <w:p>
            <w:pPr>
              <w:pStyle w:val="TableContents"/>
              <w:bidi w:val="0"/>
              <w:spacing w:before="0" w:after="283"/>
              <w:jc w:val="right"/>
              <w:rPr/>
            </w:pPr>
            <w:r>
              <w:rPr/>
              <w:t>2 | 3</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u w:val="single"/>
        </w:rPr>
        <w:t>Restricted Stock Units (RSU)</w:t>
      </w:r>
      <w:r>
        <w:rPr>
          <w:rFonts w:ascii="Times New Roman" w:hAnsi="Times New Roman"/>
          <w:b/>
          <w:sz w:val="20"/>
        </w:rPr>
        <w:t xml:space="preserve">: </w:t>
      </w:r>
      <w:r>
        <w:rPr>
          <w:rFonts w:ascii="Times New Roman" w:hAnsi="Times New Roman"/>
          <w:sz w:val="20"/>
        </w:rPr>
        <w:t xml:space="preserve">In connection with the commencement of your employment, Arteris will recommend that the Board of Directors grant you a </w:t>
      </w:r>
      <w:r>
        <w:rPr>
          <w:rFonts w:ascii="Times New Roman" w:hAnsi="Times New Roman"/>
          <w:b/>
          <w:sz w:val="20"/>
        </w:rPr>
        <w:t xml:space="preserve">RSU Award equal to $3,700,000.00 </w:t>
      </w:r>
      <w:r>
        <w:rPr>
          <w:rFonts w:ascii="Times New Roman" w:hAnsi="Times New Roman"/>
          <w:sz w:val="20"/>
        </w:rPr>
        <w:t xml:space="preserve">in accordance with the Arteris’ governing equity incentive plan, subject to applicable laws and Company policy. </w:t>
      </w:r>
    </w:p>
    <w:p>
      <w:pPr>
        <w:pStyle w:val="TextBody"/>
        <w:bidi w:val="0"/>
        <w:spacing w:before="240" w:after="0"/>
        <w:jc w:val="left"/>
        <w:rPr>
          <w:rFonts w:ascii="Times New Roman" w:hAnsi="Times New Roman"/>
          <w:sz w:val="20"/>
        </w:rPr>
      </w:pPr>
      <w:r>
        <w:rPr>
          <w:rFonts w:ascii="Times New Roman" w:hAnsi="Times New Roman"/>
          <w:b/>
          <w:sz w:val="20"/>
          <w:u w:val="single"/>
        </w:rPr>
        <w:t>Performance Stock Units (PSU)</w:t>
      </w:r>
      <w:r>
        <w:rPr>
          <w:rFonts w:ascii="Times New Roman" w:hAnsi="Times New Roman"/>
          <w:b/>
          <w:sz w:val="20"/>
        </w:rPr>
        <w:t xml:space="preserve">: </w:t>
      </w:r>
      <w:r>
        <w:rPr>
          <w:rFonts w:ascii="Times New Roman" w:hAnsi="Times New Roman"/>
          <w:sz w:val="20"/>
        </w:rPr>
        <w:t xml:space="preserve">In connection with the commencement of your employment, Arteris will recommend that the Board of Directors grant you a Performance Stock Unit (“PSU”) Award with a target grant value of </w:t>
      </w:r>
      <w:r>
        <w:rPr>
          <w:rFonts w:ascii="Times New Roman" w:hAnsi="Times New Roman"/>
          <w:b/>
          <w:sz w:val="20"/>
        </w:rPr>
        <w:t>$1,000,000.00</w:t>
      </w:r>
      <w:r>
        <w:rPr>
          <w:rFonts w:ascii="Times New Roman" w:hAnsi="Times New Roman"/>
          <w:sz w:val="20"/>
        </w:rPr>
        <w:t xml:space="preserve">, in accordance with the Company’s governing equity incentive plan, subject to applicable law and Company policy. The PSU Award will be eligible to vest only upon the achievement of the following Company performance goals, as determined by the Board of Directors (or its Compensation Committee): (i) the Company achieving annual TTM revenue of $200,000,000.00 or greater any time on or before December 31st, 2030; and subsequently (ii) the Company’s common stock achieving a closing share price of $65.00 or greater average of 15-day trading period on or before December 31st, 2031. The specific terms, measurement period, certification of performance, timing of vesting, and all other conditions of the PSU Award will be set forth in the applicable PSU Award Agreement and are subject to approval by the Board of Directors. </w:t>
      </w:r>
    </w:p>
    <w:p>
      <w:pPr>
        <w:pStyle w:val="TextBody"/>
        <w:bidi w:val="0"/>
        <w:spacing w:before="240" w:after="0"/>
        <w:jc w:val="left"/>
        <w:rPr>
          <w:rFonts w:ascii="Times New Roman" w:hAnsi="Times New Roman"/>
          <w:sz w:val="20"/>
        </w:rPr>
      </w:pPr>
      <w:r>
        <w:rPr>
          <w:rFonts w:ascii="Times New Roman" w:hAnsi="Times New Roman"/>
          <w:b/>
          <w:sz w:val="20"/>
          <w:u w:val="single"/>
        </w:rPr>
        <w:t>Long Term Incentive Program (LTIP)</w:t>
      </w:r>
      <w:r>
        <w:rPr>
          <w:rFonts w:ascii="Times New Roman" w:hAnsi="Times New Roman"/>
          <w:b/>
          <w:sz w:val="20"/>
        </w:rPr>
        <w:t xml:space="preserve">: </w:t>
      </w:r>
      <w:r>
        <w:rPr>
          <w:rFonts w:ascii="Times New Roman" w:hAnsi="Times New Roman"/>
          <w:sz w:val="20"/>
        </w:rPr>
        <w:t xml:space="preserve">In connection with the commencement of your employment, Arteris will recommend that the Board of Directors grant you an </w:t>
      </w:r>
      <w:r>
        <w:rPr>
          <w:rFonts w:ascii="Times New Roman" w:hAnsi="Times New Roman"/>
          <w:b/>
          <w:sz w:val="20"/>
        </w:rPr>
        <w:t xml:space="preserve">LTIP Award equal to $1,000,000.00 </w:t>
      </w:r>
      <w:r>
        <w:rPr>
          <w:rFonts w:ascii="Times New Roman" w:hAnsi="Times New Roman"/>
          <w:sz w:val="20"/>
        </w:rPr>
        <w:t xml:space="preserve">to commence January 1, 2027, in accordance with the Arteris’ governing equity incentive plan, subject to applicable laws and Company policy. Current LTIP is an executive PSU program based on relative total shareholder return of Arteris compared to the Russell 2000 index. </w:t>
      </w:r>
    </w:p>
    <w:p>
      <w:pPr>
        <w:pStyle w:val="TextBody"/>
        <w:bidi w:val="0"/>
        <w:spacing w:before="240" w:after="0"/>
        <w:jc w:val="left"/>
        <w:rPr>
          <w:rFonts w:ascii="Times New Roman" w:hAnsi="Times New Roman"/>
          <w:sz w:val="20"/>
        </w:rPr>
      </w:pPr>
      <w:r>
        <w:rPr>
          <w:rFonts w:ascii="Times New Roman" w:hAnsi="Times New Roman"/>
          <w:b/>
          <w:sz w:val="20"/>
          <w:u w:val="single"/>
        </w:rPr>
        <w:t>Change in Control and Severance Agreement</w:t>
      </w:r>
      <w:r>
        <w:rPr>
          <w:rFonts w:ascii="Times New Roman" w:hAnsi="Times New Roman"/>
          <w:b/>
          <w:sz w:val="20"/>
        </w:rPr>
        <w:t xml:space="preserve">: </w:t>
      </w:r>
      <w:r>
        <w:rPr>
          <w:rFonts w:ascii="Times New Roman" w:hAnsi="Times New Roman"/>
          <w:sz w:val="20"/>
        </w:rPr>
        <w:t xml:space="preserve">As an Executive you shall be eligible to enter into a Change of Control and Severance Agreement entitling you to certain benefits in the event of his termination following a change of control of the Company. Attached is the Change of Control and Severance Agreement. </w:t>
      </w:r>
    </w:p>
    <w:p>
      <w:pPr>
        <w:pStyle w:val="TextBody"/>
        <w:bidi w:val="0"/>
        <w:spacing w:before="240" w:after="0"/>
        <w:jc w:val="left"/>
        <w:rPr>
          <w:rFonts w:ascii="Times New Roman" w:hAnsi="Times New Roman"/>
          <w:sz w:val="20"/>
        </w:rPr>
      </w:pPr>
      <w:r>
        <w:rPr>
          <w:rFonts w:ascii="Times New Roman" w:hAnsi="Times New Roman"/>
          <w:b/>
          <w:sz w:val="20"/>
          <w:u w:val="single"/>
        </w:rPr>
        <w:t>Benefits</w:t>
      </w:r>
      <w:r>
        <w:rPr>
          <w:rFonts w:ascii="Times New Roman" w:hAnsi="Times New Roman"/>
          <w:b/>
          <w:sz w:val="20"/>
        </w:rPr>
        <w:t>:</w:t>
      </w:r>
      <w:r>
        <w:rPr>
          <w:rFonts w:ascii="Times New Roman" w:hAnsi="Times New Roman"/>
          <w:sz w:val="20"/>
        </w:rPr>
        <w:t xml:space="preserve"> You will be eligible to participate in all the employee benefits and benefit plans that the Company generally makes available to its full-time regular employees, subject to the terms and conditions of such benefits and benefit plans, including group health plans and a 401k Plan. Detailed information about the benefits presently available will be provided to you on your first day of employment. </w:t>
      </w:r>
    </w:p>
    <w:p>
      <w:pPr>
        <w:pStyle w:val="TextBody"/>
        <w:bidi w:val="0"/>
        <w:spacing w:before="240" w:after="0"/>
        <w:jc w:val="left"/>
        <w:rPr>
          <w:rFonts w:ascii="Times New Roman" w:hAnsi="Times New Roman"/>
          <w:sz w:val="20"/>
        </w:rPr>
      </w:pPr>
      <w:r>
        <w:rPr>
          <w:rFonts w:ascii="Times New Roman" w:hAnsi="Times New Roman"/>
          <w:sz w:val="20"/>
        </w:rPr>
        <w:t xml:space="preserve">Arteris reserves the right to modify job titles, salaries, and benefits from time to time as it deems necessary and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All forms of compensation referred to in this letter are subject to reduction to reflect applicable withholdings, payroll taxes and other deductions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This offer of employment is contingent upon the fulfillment of each of the following terms: </w:t>
      </w:r>
    </w:p>
    <w:p>
      <w:pPr>
        <w:pStyle w:val="TextBody"/>
        <w:bidi w:val="0"/>
        <w:spacing w:before="240" w:after="0"/>
        <w:jc w:val="left"/>
        <w:rPr>
          <w:rFonts w:ascii="Times New Roman" w:hAnsi="Times New Roman"/>
          <w:sz w:val="20"/>
        </w:rPr>
      </w:pPr>
      <w:r>
        <w:rPr>
          <w:rFonts w:ascii="Times New Roman" w:hAnsi="Times New Roman"/>
          <w:b/>
          <w:sz w:val="20"/>
          <w:u w:val="single"/>
        </w:rPr>
        <w:t>Acknowledgement of Employee Handbook and Confidentiality Agreement</w:t>
      </w:r>
      <w:r>
        <w:rPr>
          <w:rFonts w:ascii="Times New Roman" w:hAnsi="Times New Roman"/>
          <w:b/>
          <w:sz w:val="20"/>
        </w:rPr>
        <w:t>:</w:t>
      </w:r>
      <w:r>
        <w:rPr>
          <w:rFonts w:ascii="Times New Roman" w:hAnsi="Times New Roman"/>
          <w:sz w:val="20"/>
        </w:rPr>
        <w:t xml:space="preserve"> As an Arteris employee, you are required to follow its rules and regulations. Therefore, you will be asked to acknowledge in writing that you have read the Employee Handbook at orientation, and sign and comply with the attached Proprietary Information and Inventions Agreement (the “PIIA”), which prohibits, among other things, the unauthorized use or disclosure of Arteris confidential and proprietary information. To retain necessary flexibility in the administration of its policies and procedures, Arteris reserves the right to change or revise its policies, procedures, and benefits at any time. </w:t>
      </w:r>
    </w:p>
    <w:p>
      <w:pPr>
        <w:pStyle w:val="TextBody"/>
        <w:bidi w:val="0"/>
        <w:spacing w:before="240" w:after="0"/>
        <w:jc w:val="left"/>
        <w:rPr>
          <w:rFonts w:ascii="Times New Roman" w:hAnsi="Times New Roman"/>
          <w:sz w:val="20"/>
        </w:rPr>
      </w:pPr>
      <w:r>
        <w:rPr>
          <w:rFonts w:ascii="Times New Roman" w:hAnsi="Times New Roman"/>
          <w:b/>
          <w:sz w:val="20"/>
          <w:u w:val="single"/>
        </w:rPr>
        <w:t>Required Documentation</w:t>
      </w:r>
      <w:r>
        <w:rPr>
          <w:rFonts w:ascii="Times New Roman" w:hAnsi="Times New Roman"/>
          <w:b/>
          <w:sz w:val="20"/>
        </w:rPr>
        <w:t>:</w:t>
      </w:r>
      <w:r>
        <w:rPr>
          <w:rFonts w:ascii="Times New Roman" w:hAnsi="Times New Roman"/>
          <w:sz w:val="20"/>
        </w:rPr>
        <w:t xml:space="preserve"> To comply with the government-mandated confirmation of employment eligibility, you will be required to provide satisfactory documentary proof of your identity and right to work in the United States of America on your first day of employment. An I-9 Form and “Lists of Acceptable Documents” as approved by the United States Department of Justice for establishing identity and employment eligibility will be proved to you before your start date. Please bring the required I-9 documents with you on your first day of employment; failure to submit proof of your employment eligibility will postpone your start date or result in termination of your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Arteris, Inc. </w:t>
      </w:r>
    </w:p>
    <w:p>
      <w:pPr>
        <w:pStyle w:val="TextBody"/>
        <w:bidi w:val="0"/>
        <w:spacing w:before="0" w:after="0"/>
        <w:jc w:val="center"/>
        <w:rPr>
          <w:rFonts w:ascii="Times New Roman" w:hAnsi="Times New Roman"/>
          <w:sz w:val="20"/>
        </w:rPr>
      </w:pPr>
      <w:r>
        <w:rPr>
          <w:rFonts w:ascii="Times New Roman" w:hAnsi="Times New Roman"/>
          <w:sz w:val="20"/>
        </w:rPr>
        <w:t xml:space="preserve">900 E. Hamilton Ave, Suite 300, Campbell, CA 95008, (408) 470-7300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623"/>
        <w:gridCol w:w="122"/>
        <w:gridCol w:w="4460"/>
      </w:tblGrid>
      <w:tr>
        <w:trPr/>
        <w:tc>
          <w:tcPr>
            <w:tcW w:w="56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r>
      <w:tr>
        <w:trPr/>
        <w:tc>
          <w:tcPr>
            <w:tcW w:w="5623" w:type="dxa"/>
            <w:tcBorders/>
          </w:tcPr>
          <w:p>
            <w:pPr>
              <w:pStyle w:val="TableContents"/>
              <w:bidi w:val="0"/>
              <w:spacing w:before="0" w:after="283"/>
              <w:jc w:val="left"/>
              <w:rPr/>
            </w:pPr>
            <w:r>
              <w:rPr/>
              <w:drawing>
                <wp:inline distT="0" distB="0" distL="0" distR="0">
                  <wp:extent cx="2352675"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52675" cy="40957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460" w:type="dxa"/>
            <w:tcBorders/>
            <w:vAlign w:val="bottom"/>
          </w:tcPr>
          <w:p>
            <w:pPr>
              <w:pStyle w:val="TableContents"/>
              <w:bidi w:val="0"/>
              <w:spacing w:before="0" w:after="283"/>
              <w:jc w:val="right"/>
              <w:rPr/>
            </w:pPr>
            <w:r>
              <w:rPr/>
              <w:t>3 | 3</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u w:val="single"/>
        </w:rPr>
        <w:t>At Will Employment</w:t>
      </w:r>
      <w:r>
        <w:rPr>
          <w:rFonts w:ascii="Times New Roman" w:hAnsi="Times New Roman"/>
          <w:b/>
          <w:sz w:val="20"/>
        </w:rPr>
        <w:t>:</w:t>
      </w:r>
      <w:r>
        <w:rPr>
          <w:rFonts w:ascii="Times New Roman" w:hAnsi="Times New Roman"/>
          <w:sz w:val="20"/>
        </w:rPr>
        <w:t xml:space="preserve"> Arteris is an employment-at-will company. This means that you or Arteris may terminate your employment at any time, with or without cause and with or without prior notice, and for any reason or no particular reason. Accordingly, this letter is not a contract and should not be construed as creating contractual obligations. </w:t>
      </w:r>
    </w:p>
    <w:p>
      <w:pPr>
        <w:pStyle w:val="TextBody"/>
        <w:bidi w:val="0"/>
        <w:spacing w:before="240" w:after="0"/>
        <w:jc w:val="left"/>
        <w:rPr>
          <w:rFonts w:ascii="Times New Roman" w:hAnsi="Times New Roman"/>
          <w:sz w:val="20"/>
        </w:rPr>
      </w:pPr>
      <w:r>
        <w:rPr>
          <w:rFonts w:ascii="Times New Roman" w:hAnsi="Times New Roman"/>
          <w:b/>
          <w:sz w:val="20"/>
          <w:u w:val="single"/>
        </w:rPr>
        <w:t>Background</w:t>
      </w:r>
      <w:r>
        <w:rPr>
          <w:rFonts w:ascii="Times New Roman" w:hAnsi="Times New Roman"/>
          <w:b/>
          <w:sz w:val="20"/>
        </w:rPr>
        <w:t xml:space="preserve"> &amp; References: </w:t>
      </w:r>
      <w:r>
        <w:rPr>
          <w:rFonts w:ascii="Times New Roman" w:hAnsi="Times New Roman"/>
          <w:sz w:val="20"/>
        </w:rPr>
        <w:t xml:space="preserve">This offer, and any employment pursuant to this offer, is conditioned upon receipt by the Company of satisfactory results from your background and reference checks. To the extent you commence employment prior to the completion of these checks, continued employment will remain contingent on satisfactory completion. </w:t>
      </w:r>
    </w:p>
    <w:p>
      <w:pPr>
        <w:pStyle w:val="TextBody"/>
        <w:bidi w:val="0"/>
        <w:spacing w:before="240" w:after="0"/>
        <w:jc w:val="left"/>
        <w:rPr>
          <w:rFonts w:ascii="Times New Roman" w:hAnsi="Times New Roman"/>
          <w:sz w:val="20"/>
        </w:rPr>
      </w:pPr>
      <w:r>
        <w:rPr>
          <w:rFonts w:ascii="Times New Roman" w:hAnsi="Times New Roman"/>
          <w:sz w:val="20"/>
        </w:rPr>
        <w:t xml:space="preserve">This offer letter, together with your PIIA and the Employee Handbook, forms the complete and exclusive statement of your employment with Arteris. It supersedes any other agreements or promises made to you by anyone, whether oral or written. Changes to the terms of this letter require a written modification signed by an authorized employee of Arteris. Additionally, Arteris reserves the right to revoke this offer should it not receive a satisfactory reference or background check for you.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accept employment at Arteris under the terms described above, please sign and date this letter, the Proprietary Information and Inventions Agreement (PIIA), and the Change in Control and Severance Agreement and return both by </w:t>
      </w:r>
      <w:r>
        <w:rPr>
          <w:rFonts w:ascii="Times New Roman" w:hAnsi="Times New Roman"/>
          <w:b/>
          <w:sz w:val="20"/>
        </w:rPr>
        <w:t>July</w:t>
      </w:r>
      <w:r>
        <w:rPr>
          <w:rFonts w:ascii="Times New Roman" w:hAnsi="Times New Roman"/>
          <w:sz w:val="20"/>
        </w:rPr>
        <w:t> </w:t>
      </w:r>
      <w:r>
        <w:rPr>
          <w:rFonts w:ascii="Times New Roman" w:hAnsi="Times New Roman"/>
          <w:b/>
          <w:sz w:val="20"/>
        </w:rPr>
        <w:t>23, 2026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excited that you are joining Arteris’ team and feel that you have a great deal to contribute. If you have any questions, please feel free to call our Global Head of Human Resources, Jolene Bishop, or me at 408-470-7300.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 Charles Janac</w:t>
            </w:r>
          </w:p>
        </w:tc>
      </w:tr>
      <w:tr>
        <w:trPr/>
        <w:tc>
          <w:tcPr>
            <w:tcW w:w="4082" w:type="dxa"/>
            <w:tcBorders/>
          </w:tcPr>
          <w:p>
            <w:pPr>
              <w:pStyle w:val="TableContents"/>
              <w:bidi w:val="0"/>
              <w:spacing w:before="0" w:after="283"/>
              <w:jc w:val="left"/>
              <w:rPr/>
            </w:pPr>
            <w:r>
              <w:rPr/>
              <w:t>K. Charles Janac</w:t>
            </w:r>
          </w:p>
        </w:tc>
      </w:tr>
      <w:tr>
        <w:trPr/>
        <w:tc>
          <w:tcPr>
            <w:tcW w:w="4082" w:type="dxa"/>
            <w:tcBorders/>
          </w:tcPr>
          <w:p>
            <w:pPr>
              <w:pStyle w:val="TableContents"/>
              <w:bidi w:val="0"/>
              <w:spacing w:before="0" w:after="283"/>
              <w:jc w:val="left"/>
              <w:rPr/>
            </w:pPr>
            <w:r>
              <w:rPr/>
              <w:t>Chief Executive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I understand and accept the terms of this employment offer.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Saurabh Sinha</w:t>
            </w:r>
          </w:p>
        </w:tc>
      </w:tr>
      <w:tr>
        <w:trPr/>
        <w:tc>
          <w:tcPr>
            <w:tcW w:w="4082" w:type="dxa"/>
            <w:tcBorders/>
          </w:tcPr>
          <w:p>
            <w:pPr>
              <w:pStyle w:val="TableContents"/>
              <w:bidi w:val="0"/>
              <w:spacing w:before="0" w:after="283"/>
              <w:jc w:val="left"/>
              <w:rPr/>
            </w:pPr>
            <w:r>
              <w:rPr/>
              <w:t>Saurabh Sinha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07/20/2026</w:t>
            </w:r>
          </w:p>
        </w:tc>
      </w:tr>
      <w:tr>
        <w:trPr/>
        <w:tc>
          <w:tcPr>
            <w:tcW w:w="4082" w:type="dxa"/>
            <w:tcBorders/>
          </w:tcPr>
          <w:p>
            <w:pPr>
              <w:pStyle w:val="TableContents"/>
              <w:bidi w:val="0"/>
              <w:spacing w:before="0" w:after="283"/>
              <w:jc w:val="left"/>
              <w:rPr/>
            </w:pPr>
            <w:r>
              <w:rPr/>
              <w:t>Date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September 2, 2026</w:t>
            </w:r>
          </w:p>
        </w:tc>
      </w:tr>
      <w:tr>
        <w:trPr/>
        <w:tc>
          <w:tcPr>
            <w:tcW w:w="4082" w:type="dxa"/>
            <w:tcBorders/>
          </w:tcPr>
          <w:p>
            <w:pPr>
              <w:pStyle w:val="TableContents"/>
              <w:bidi w:val="0"/>
              <w:spacing w:before="0" w:after="283"/>
              <w:jc w:val="left"/>
              <w:rPr/>
            </w:pPr>
            <w:r>
              <w:rPr/>
              <w:t>Start Date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2"/>
        <w:gridCol w:w="120"/>
        <w:gridCol w:w="9003"/>
      </w:tblGrid>
      <w:tr>
        <w:trPr/>
        <w:tc>
          <w:tcPr>
            <w:tcW w:w="10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03" w:type="dxa"/>
            <w:tcBorders/>
            <w:vAlign w:val="center"/>
          </w:tcPr>
          <w:p>
            <w:pPr>
              <w:pStyle w:val="TableContents"/>
              <w:bidi w:val="0"/>
              <w:spacing w:before="0" w:after="283"/>
              <w:jc w:val="left"/>
              <w:rPr>
                <w:sz w:val="4"/>
                <w:szCs w:val="4"/>
              </w:rPr>
            </w:pPr>
            <w:r>
              <w:rPr>
                <w:sz w:val="4"/>
                <w:szCs w:val="4"/>
              </w:rPr>
            </w:r>
          </w:p>
        </w:tc>
      </w:tr>
      <w:tr>
        <w:trPr/>
        <w:tc>
          <w:tcPr>
            <w:tcW w:w="1082" w:type="dxa"/>
            <w:tcBorders/>
          </w:tcPr>
          <w:p>
            <w:pPr>
              <w:pStyle w:val="TableContents"/>
              <w:bidi w:val="0"/>
              <w:spacing w:before="0" w:after="283"/>
              <w:jc w:val="left"/>
              <w:rPr/>
            </w:pPr>
            <w:r>
              <w:rPr/>
              <w:t>Enclosures:</w:t>
            </w:r>
          </w:p>
        </w:tc>
        <w:tc>
          <w:tcPr>
            <w:tcW w:w="120" w:type="dxa"/>
            <w:tcBorders/>
            <w:vAlign w:val="bottom"/>
          </w:tcPr>
          <w:p>
            <w:pPr>
              <w:pStyle w:val="TableContents"/>
              <w:bidi w:val="0"/>
              <w:spacing w:before="0" w:after="283"/>
              <w:jc w:val="left"/>
              <w:rPr/>
            </w:pPr>
            <w:r>
              <w:rPr/>
              <w:t>  </w:t>
            </w:r>
          </w:p>
        </w:tc>
        <w:tc>
          <w:tcPr>
            <w:tcW w:w="9003" w:type="dxa"/>
            <w:tcBorders/>
          </w:tcPr>
          <w:p>
            <w:pPr>
              <w:pStyle w:val="TableContents"/>
              <w:bidi w:val="0"/>
              <w:spacing w:before="0" w:after="283"/>
              <w:jc w:val="left"/>
              <w:rPr/>
            </w:pPr>
            <w:r>
              <w:rPr/>
              <w:t>Proprietary Information and Inventions Agreement (PIIA)</w:t>
            </w:r>
          </w:p>
        </w:tc>
      </w:tr>
      <w:tr>
        <w:trPr/>
        <w:tc>
          <w:tcPr>
            <w:tcW w:w="10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003" w:type="dxa"/>
            <w:tcBorders/>
          </w:tcPr>
          <w:p>
            <w:pPr>
              <w:pStyle w:val="TableContents"/>
              <w:bidi w:val="0"/>
              <w:spacing w:before="0" w:after="283"/>
              <w:jc w:val="left"/>
              <w:rPr/>
            </w:pPr>
            <w:r>
              <w:rPr/>
              <w:t>Change in Control and Severance Agreement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Arteris, Inc. </w:t>
      </w:r>
    </w:p>
    <w:p>
      <w:pPr>
        <w:pStyle w:val="TextBody"/>
        <w:bidi w:val="0"/>
        <w:spacing w:before="0" w:after="0"/>
        <w:jc w:val="center"/>
        <w:rPr>
          <w:rFonts w:ascii="Times New Roman" w:hAnsi="Times New Roman"/>
          <w:sz w:val="20"/>
        </w:rPr>
      </w:pPr>
      <w:r>
        <w:rPr>
          <w:rFonts w:ascii="Times New Roman" w:hAnsi="Times New Roman"/>
          <w:sz w:val="20"/>
        </w:rPr>
        <w:t xml:space="preserve">900 E. Hamilton Ave, Suite 300, Campbell, CA 95008, (408) 470-7300 </w:t>
      </w:r>
    </w:p>
    <w:p>
      <w:pPr>
        <w:pStyle w:val="TextBody"/>
        <w:bidi w:val="0"/>
        <w:spacing w:before="0" w:after="0"/>
        <w:jc w:val="right"/>
        <w:rPr>
          <w:rFonts w:ascii="Times New Roman" w:hAnsi="Times New Roman"/>
          <w:b/>
          <w:sz w:val="20"/>
        </w:rPr>
      </w:pPr>
      <w:bookmarkStart w:id="4" w:name="d148163dex991.htm"/>
      <w:bookmarkStart w:id="5" w:name="ksd148163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90500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0"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Arteris Appoints Saurabh Sinha as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CAMPBELL, Calif., – August 6, 2026 – Arteris, Inc. (Nasdaq: AIP), a leading provider of semiconductor technology for accelerating innovation in the AI era, today announced the appointment of Saurabh Sinha as Chief Financial Officer, effective September 8, 2026. Mr. Sinha succeeds Nick Hawkins, who is retiring after seven years with the company. Mr. Hawkins will provide continued support in an advisory role to facilitate a seamless transition. </w:t>
      </w:r>
    </w:p>
    <w:p>
      <w:pPr>
        <w:pStyle w:val="TextBody"/>
        <w:bidi w:val="0"/>
        <w:spacing w:before="240" w:after="0"/>
        <w:jc w:val="left"/>
        <w:rPr/>
      </w:pPr>
      <w:r>
        <w:rPr/>
        <w:t>“</w:t>
      </w:r>
      <w:r>
        <w:rPr>
          <w:rFonts w:ascii="Times New Roman" w:hAnsi="Times New Roman"/>
          <w:sz w:val="20"/>
        </w:rPr>
        <w:t xml:space="preserve">Arteris is executing on a significant growth opportunity as AI and semiconductor innovation drive increasing demand for sophisticated data movement system IP,” said K. Charles Janac, president and CEO of Arteris. “Saurabh is a seasoned public company CFO with a track record of helping technology companies scale. His experience in operational excellence, public company leadership, investor relations and capital markets will be invaluable as we execute our long-term strategy. We wholeheartedly welcome Saurabh to the Arteris management team.” </w:t>
      </w:r>
    </w:p>
    <w:p>
      <w:pPr>
        <w:pStyle w:val="TextBody"/>
        <w:bidi w:val="0"/>
        <w:spacing w:before="240" w:after="0"/>
        <w:jc w:val="left"/>
        <w:rPr>
          <w:rFonts w:ascii="Times New Roman" w:hAnsi="Times New Roman"/>
          <w:sz w:val="20"/>
        </w:rPr>
      </w:pPr>
      <w:r>
        <w:rPr>
          <w:rFonts w:ascii="Times New Roman" w:hAnsi="Times New Roman"/>
          <w:sz w:val="20"/>
        </w:rPr>
        <w:t xml:space="preserve">Janac continued, “I want to thank Nick Hawkins for his leadership and significant contributions to Arteris during his tenure. Nick helped lead Arteris through its successful IPO and built an exceptional finance organization. We wish Nick the best in his next chapter.” </w:t>
      </w:r>
    </w:p>
    <w:p>
      <w:pPr>
        <w:pStyle w:val="TextBody"/>
        <w:bidi w:val="0"/>
        <w:spacing w:before="240" w:after="0"/>
        <w:jc w:val="left"/>
        <w:rPr/>
      </w:pPr>
      <w:r>
        <w:rPr/>
        <w:t>“</w:t>
      </w:r>
      <w:r>
        <w:rPr>
          <w:rFonts w:ascii="Times New Roman" w:hAnsi="Times New Roman"/>
          <w:sz w:val="20"/>
        </w:rPr>
        <w:t xml:space="preserve">I am honored to join Arteris at such an exciting point in the company’s evolution,” said Saurabh Sinha. “Arteris has built an exceptional reputation as the trusted system IP partner for many of the world’s leading semiconductor innovators. As AI and other advances in semiconductor architecture continue to reshape computing and emerging application opportunities, the company’s technology, customer relationships and innovation-driven culture position it exceptionally well for continued growth. I’m excited to join the talented Arteris team to build on its success, generating long-term value for its customers, employees and shareholders.” </w:t>
      </w:r>
    </w:p>
    <w:p>
      <w:pPr>
        <w:pStyle w:val="TextBody"/>
        <w:bidi w:val="0"/>
        <w:spacing w:before="240" w:after="0"/>
        <w:jc w:val="left"/>
        <w:rPr>
          <w:rFonts w:ascii="Times New Roman" w:hAnsi="Times New Roman"/>
          <w:sz w:val="20"/>
        </w:rPr>
      </w:pPr>
      <w:r>
        <w:rPr>
          <w:rFonts w:ascii="Times New Roman" w:hAnsi="Times New Roman"/>
          <w:sz w:val="20"/>
        </w:rPr>
        <w:t xml:space="preserve">Mr. Sinha brings more than 25 years of financial leadership experience across public technology companies and high-growth private technology businesses, helping organizations scale operations, strengthen governance and create long-term shareholder value. Since September 2020, he has served as Chief Financial Officer of Aeva Technologies, where he led the company’s finance organization through its transition to the public markets and helped build the infrastructure to support its next phase of growth. Previously, he held senior financial leadership roles at a number of companies including InvenSense, Symmetricom, ShoreTel and JUUL. </w:t>
      </w:r>
    </w:p>
    <w:p>
      <w:pPr>
        <w:pStyle w:val="TextBody"/>
        <w:bidi w:val="0"/>
        <w:spacing w:before="240" w:after="0"/>
        <w:jc w:val="left"/>
        <w:rPr>
          <w:rFonts w:ascii="Times New Roman" w:hAnsi="Times New Roman"/>
          <w:sz w:val="20"/>
        </w:rPr>
      </w:pPr>
      <w:r>
        <w:rPr>
          <w:rFonts w:ascii="Times New Roman" w:hAnsi="Times New Roman"/>
          <w:sz w:val="20"/>
        </w:rPr>
        <w:t xml:space="preserve">Mr. Sinha holds a Bachelor of Commerce degree from the University of Delhi and an MBA from The Wharton School of the University of Pennsylvania.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0500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0500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Arteris </w:t>
      </w:r>
    </w:p>
    <w:p>
      <w:pPr>
        <w:pStyle w:val="TextBody"/>
        <w:bidi w:val="0"/>
        <w:spacing w:before="120" w:after="0"/>
        <w:jc w:val="left"/>
        <w:rPr>
          <w:rFonts w:ascii="Times New Roman" w:hAnsi="Times New Roman"/>
          <w:sz w:val="20"/>
        </w:rPr>
      </w:pPr>
      <w:r>
        <w:rPr>
          <w:rFonts w:ascii="Times New Roman" w:hAnsi="Times New Roman"/>
          <w:sz w:val="20"/>
        </w:rPr>
        <w:t xml:space="preserve">Arteris is a leading provider of semiconductor technology that accelerates the creation of high-performance, power-efficient silicon with built-in safety, reliability, and security. Innovative Arteris products are designed to optimize data movement and help ease complexity in the modern AI era with network-on-chip (NoC) interconnect intellectual property (IP), system-on-chip (SoC) software for integration automation and hardware security assurance. All are used by the world’s top technology companies to improve overall performance and engineering productivity, reduce risk, lower costs, and bring cutting-edge designs to market faster. Learn more at arteris.com. </w:t>
      </w:r>
    </w:p>
    <w:p>
      <w:pPr>
        <w:pStyle w:val="TextBody"/>
        <w:bidi w:val="0"/>
        <w:spacing w:before="240" w:after="0"/>
        <w:jc w:val="left"/>
        <w:rPr>
          <w:rFonts w:ascii="Times New Roman" w:hAnsi="Times New Roman"/>
          <w:i/>
          <w:sz w:val="20"/>
        </w:rPr>
      </w:pPr>
      <w:r>
        <w:rPr>
          <w:rFonts w:ascii="Times New Roman" w:hAnsi="Times New Roman"/>
          <w:i/>
          <w:sz w:val="20"/>
        </w:rPr>
        <w:t xml:space="preserve">© 2004-2026 Arteris, Inc. All rights reserved worldwide. Arteris, Arteris IP, the Arteris IP logo, and the other Arteris marks found at arteris.com/trademarks are trademarks or registered trademarks of Arteris, Inc. or its subsidiaries. All other trademarks are the property of their respective owners.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Arteris </w:t>
      </w:r>
    </w:p>
    <w:p>
      <w:pPr>
        <w:pStyle w:val="TextBody"/>
        <w:bidi w:val="0"/>
        <w:spacing w:before="0" w:after="0"/>
        <w:jc w:val="left"/>
        <w:rPr>
          <w:rFonts w:ascii="Times New Roman" w:hAnsi="Times New Roman"/>
          <w:sz w:val="20"/>
        </w:rPr>
      </w:pPr>
      <w:r>
        <w:rPr>
          <w:rFonts w:ascii="Times New Roman" w:hAnsi="Times New Roman"/>
          <w:sz w:val="20"/>
        </w:rPr>
        <w:t xml:space="preserve">Gina Jacobs </w:t>
      </w:r>
    </w:p>
    <w:p>
      <w:pPr>
        <w:pStyle w:val="TextBody"/>
        <w:bidi w:val="0"/>
        <w:spacing w:before="0" w:after="0"/>
        <w:jc w:val="left"/>
        <w:rPr>
          <w:rFonts w:ascii="Times New Roman" w:hAnsi="Times New Roman"/>
          <w:sz w:val="20"/>
        </w:rPr>
      </w:pPr>
      <w:r>
        <w:rPr>
          <w:rFonts w:ascii="Times New Roman" w:hAnsi="Times New Roman"/>
          <w:sz w:val="20"/>
        </w:rPr>
        <w:t xml:space="preserve">+1.408.560.3044 </w:t>
      </w:r>
    </w:p>
    <w:p>
      <w:pPr>
        <w:pStyle w:val="TextBody"/>
        <w:bidi w:val="0"/>
        <w:spacing w:before="0" w:after="0"/>
        <w:jc w:val="left"/>
        <w:rPr>
          <w:rFonts w:ascii="Times New Roman" w:hAnsi="Times New Roman"/>
          <w:sz w:val="20"/>
        </w:rPr>
      </w:pPr>
      <w:r>
        <w:rPr>
          <w:rFonts w:ascii="Times New Roman" w:hAnsi="Times New Roman"/>
          <w:sz w:val="20"/>
        </w:rPr>
        <w:t xml:space="preserve">newsroom@arteris.com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Sapphire Investor Relations, LLC </w:t>
      </w:r>
    </w:p>
    <w:p>
      <w:pPr>
        <w:pStyle w:val="TextBody"/>
        <w:bidi w:val="0"/>
        <w:spacing w:before="0" w:after="0"/>
        <w:jc w:val="left"/>
        <w:rPr>
          <w:rFonts w:ascii="Times New Roman" w:hAnsi="Times New Roman"/>
          <w:sz w:val="20"/>
        </w:rPr>
      </w:pPr>
      <w:r>
        <w:rPr>
          <w:rFonts w:ascii="Times New Roman" w:hAnsi="Times New Roman"/>
          <w:sz w:val="20"/>
        </w:rPr>
        <w:t xml:space="preserve">Erica Mannion and Michael Funari </w:t>
      </w:r>
    </w:p>
    <w:p>
      <w:pPr>
        <w:pStyle w:val="TextBody"/>
        <w:bidi w:val="0"/>
        <w:spacing w:before="0" w:after="0"/>
        <w:jc w:val="left"/>
        <w:rPr>
          <w:rFonts w:ascii="Times New Roman" w:hAnsi="Times New Roman"/>
          <w:sz w:val="20"/>
        </w:rPr>
      </w:pPr>
      <w:r>
        <w:rPr>
          <w:rFonts w:ascii="Times New Roman" w:hAnsi="Times New Roman"/>
          <w:sz w:val="20"/>
        </w:rPr>
        <w:t xml:space="preserve">+1 617 542 6180 </w:t>
      </w:r>
    </w:p>
    <w:p>
      <w:pPr>
        <w:pStyle w:val="TextBody"/>
        <w:bidi w:val="0"/>
        <w:spacing w:before="0" w:after="0"/>
        <w:jc w:val="left"/>
        <w:rPr>
          <w:rFonts w:ascii="Times New Roman" w:hAnsi="Times New Roman"/>
          <w:sz w:val="20"/>
        </w:rPr>
      </w:pPr>
      <w:r>
        <w:rPr>
          <w:rFonts w:ascii="Times New Roman" w:hAnsi="Times New Roman"/>
          <w:sz w:val="20"/>
        </w:rPr>
        <w:t xml:space="preserve">IR@arteris.com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Securities Litigation Reform Act of 1995, as amended, including, but not limited to, statements regarding the expected contributions of Mr. Sinha as Chief Financial Officer, the planned leadership transition, Mr. Hawkins’ continued service as executive advisor through February 2027, the Company’s growth strategy, operational execution, market opportunities, and long-term shareholder value. The words such as “may,” “will,” “could,” “expect,” “approximately,” “believe,” “estimate,” “future,” “guidance,” “outlook,” and similar words or expressions are intended to identify forward-looking statements, although not all forward-looking statements contain these identifying words. These forward-looking statements are based on current expectations, estimates, and assumptions and are subject to risks and uncertainties that could cause actual results to differ materially from those expressed or implied by such statements. These forward-looking statements are subject to known and unknown risks and uncertainties that may cause actual results to differ materially from our current expectations. Factors that could cause actual results to differ materially include, among others, the Company’s ability to successfully execute its business strategy, retain and integrate key personnel, respond to changing market conditions, achieve expected operating results, and the other risks described in the Company’s filings with the Securities and Exchange Commission, including its most recent Annual Report on Form 10-K and Quarterly Reports on Form 10-Q. Arteris undertakes no obligation to update any forward-looking statements to reflect events or circumstances after the date of this press release, except as required by law. </w:t>
      </w:r>
    </w:p>
    <w:p>
      <w:pPr>
        <w:pStyle w:val="TextBody"/>
        <w:bidi w:val="0"/>
        <w:spacing w:before="24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3569</Words>
  <Characters>19602</Characters>
  <CharactersWithSpaces>23171</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