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Bayview Legacy,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82"/>
        <w:gridCol w:w="912"/>
        <w:gridCol w:w="783"/>
        <w:gridCol w:w="661"/>
        <w:gridCol w:w="282"/>
        <w:gridCol w:w="902"/>
        <w:gridCol w:w="418"/>
        <w:gridCol w:w="984"/>
        <w:gridCol w:w="1240"/>
        <w:gridCol w:w="958"/>
        <w:gridCol w:w="108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28.7865</w:t>
            </w:r>
            <w:r>
              <w:rPr>
                <w:rFonts w:ascii="Times;serif" w:hAnsi="Times;serif"/>
                <w:color w:val="008000"/>
                <w:position w:val="7"/>
                <w:sz w:val="16"/>
                <w:sz w:val="20"/>
                <w:shd w:fill="FFFFFF" w:val="clear"/>
              </w:rPr>
              <w:t>(3)</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8,422,750</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19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42,415</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29.9906</w:t>
            </w:r>
            <w:r>
              <w:rPr>
                <w:rFonts w:ascii="Times;serif" w:hAnsi="Times;serif"/>
                <w:color w:val="008000"/>
                <w:position w:val="7"/>
                <w:sz w:val="16"/>
                <w:sz w:val="20"/>
                <w:shd w:fill="FFFFFF" w:val="clear"/>
              </w:rPr>
              <w:t>(5)</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8,380,335</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w:t>
            </w:r>
          </w:p>
        </w:tc>
      </w:tr>
      <w:tr>
        <w:trPr/>
        <w:tc>
          <w:tcPr>
            <w:tcW w:w="19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25,158</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30.3132</w:t>
            </w:r>
            <w:r>
              <w:rPr>
                <w:rFonts w:ascii="Times;serif" w:hAnsi="Times;serif"/>
                <w:color w:val="008000"/>
                <w:position w:val="7"/>
                <w:sz w:val="16"/>
                <w:sz w:val="20"/>
                <w:shd w:fill="FFFFFF" w:val="clear"/>
              </w:rPr>
              <w:t>(6)</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8,355,177</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w:t>
            </w:r>
          </w:p>
        </w:tc>
      </w:tr>
      <w:tr>
        <w:trPr/>
        <w:tc>
          <w:tcPr>
            <w:tcW w:w="19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23,506</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31.9217</w:t>
            </w:r>
            <w:r>
              <w:rPr>
                <w:rFonts w:ascii="Times;serif" w:hAnsi="Times;serif"/>
                <w:color w:val="008000"/>
                <w:position w:val="7"/>
                <w:sz w:val="16"/>
                <w:sz w:val="20"/>
                <w:shd w:fill="FFFFFF" w:val="clear"/>
              </w:rPr>
              <w:t>(7)</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8,331,671</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w:t>
            </w:r>
          </w:p>
        </w:tc>
      </w:tr>
      <w:tr>
        <w:trPr/>
        <w:tc>
          <w:tcPr>
            <w:tcW w:w="19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32.4149</w:t>
            </w:r>
            <w:r>
              <w:rPr>
                <w:rFonts w:ascii="Times;serif" w:hAnsi="Times;serif"/>
                <w:color w:val="008000"/>
                <w:position w:val="7"/>
                <w:sz w:val="16"/>
                <w:sz w:val="20"/>
                <w:shd w:fill="FFFFFF" w:val="clear"/>
              </w:rPr>
              <w:t>(8)</w:t>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8,329,071</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made pursuant to a 10b5-1 trading plan that was adopted by K. Charles Janac, as the manager of Bayview Legacy, LLC, on December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K. Charles Janac, in his individual capacity, has separately filed a Form 4 on the date hereof reporting the same transaction given his beneficial ownership of the reported security through Bayview Legacy, LLC, which he controls as its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sale price. These shares were sold in multiple transactions at prices ranging from $28.17 to $29.15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K. Charles Janac is the manager of Bayview Legacy, LLC and as such is deemed to have voting and dispositive power over the shares beneficially owned by Bayview Legacy,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sale price. These shares were sold in multiple transactions at prices ranging from $29.19 to $30.18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sale price. These shares were sold in multiple transactions at prices ranging from $30.19 to $30.61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sale price. These shares were sold in multiple transactions at prices ranging from $31.36 to $32.35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sale price. These shares were sold in multiple transactions at prices ranging from $32.37 to $32.48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 Charles Janac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8862"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1074</Words>
  <Characters>5710</Characters>
  <CharactersWithSpaces>6672</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